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42C3F9" w14:textId="77777777" w:rsidR="001303AB" w:rsidRDefault="00D95AC5">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af"/>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2"/>
      </w:pPr>
      <w:r>
        <w:t>Topic A1: Blind Decoding Capability, Multi-slot monitoring</w:t>
      </w:r>
    </w:p>
    <w:p w14:paraId="0F1B424B" w14:textId="77777777" w:rsidR="001303AB" w:rsidRDefault="00D95AC5">
      <w:pPr>
        <w:pStyle w:val="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afc"/>
              <w:numPr>
                <w:ilvl w:val="1"/>
                <w:numId w:val="16"/>
              </w:numPr>
            </w:pPr>
            <w:r>
              <w:t>Option A</w:t>
            </w:r>
          </w:p>
          <w:p w14:paraId="0B1A0CDE"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afc"/>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afc"/>
              <w:numPr>
                <w:ilvl w:val="1"/>
                <w:numId w:val="16"/>
              </w:numPr>
            </w:pPr>
            <w:r>
              <w:t>Option B</w:t>
            </w:r>
          </w:p>
          <w:p w14:paraId="10ECC80B" w14:textId="77777777" w:rsidR="001303AB" w:rsidRDefault="00D95AC5">
            <w:pPr>
              <w:pStyle w:val="afc"/>
              <w:numPr>
                <w:ilvl w:val="2"/>
                <w:numId w:val="16"/>
              </w:numPr>
              <w:rPr>
                <w:lang w:val="en-GB"/>
              </w:rPr>
            </w:pPr>
            <w:r>
              <w:rPr>
                <w:lang w:val="en-GB"/>
              </w:rPr>
              <w:t>For Group (1) SS</w:t>
            </w:r>
          </w:p>
          <w:p w14:paraId="66C3080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afc"/>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afc"/>
              <w:numPr>
                <w:ilvl w:val="2"/>
                <w:numId w:val="16"/>
              </w:numPr>
              <w:rPr>
                <w:lang w:val="en-GB"/>
              </w:rPr>
            </w:pPr>
            <w:r>
              <w:rPr>
                <w:lang w:val="en-GB"/>
              </w:rPr>
              <w:t>For Group (2) SS</w:t>
            </w:r>
          </w:p>
          <w:p w14:paraId="269C2F7B" w14:textId="77777777" w:rsidR="001303AB" w:rsidRDefault="00D95AC5">
            <w:pPr>
              <w:pStyle w:val="afc"/>
              <w:numPr>
                <w:ilvl w:val="3"/>
                <w:numId w:val="16"/>
              </w:numPr>
              <w:rPr>
                <w:lang w:val="en-GB"/>
              </w:rPr>
            </w:pPr>
            <w:r>
              <w:rPr>
                <w:lang w:val="en-GB"/>
              </w:rPr>
              <w:t>A SS can be configured to be anywhere within a slot group of X slots</w:t>
            </w:r>
          </w:p>
          <w:p w14:paraId="50D648B7" w14:textId="77777777" w:rsidR="001303AB" w:rsidRDefault="00D95AC5">
            <w:pPr>
              <w:pStyle w:val="afc"/>
              <w:numPr>
                <w:ilvl w:val="1"/>
                <w:numId w:val="16"/>
              </w:numPr>
            </w:pPr>
            <w:r>
              <w:t>Option C</w:t>
            </w:r>
          </w:p>
          <w:p w14:paraId="47B075D0" w14:textId="77777777" w:rsidR="001303AB" w:rsidRDefault="00D95AC5">
            <w:pPr>
              <w:pStyle w:val="afc"/>
              <w:numPr>
                <w:ilvl w:val="2"/>
                <w:numId w:val="16"/>
              </w:numPr>
              <w:rPr>
                <w:lang w:val="en-GB"/>
              </w:rPr>
            </w:pPr>
            <w:r>
              <w:rPr>
                <w:lang w:val="en-GB"/>
              </w:rPr>
              <w:t>For Group (1) SS</w:t>
            </w:r>
          </w:p>
          <w:p w14:paraId="57A48487"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afc"/>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afc"/>
              <w:numPr>
                <w:ilvl w:val="2"/>
                <w:numId w:val="16"/>
              </w:numPr>
              <w:rPr>
                <w:lang w:val="en-GB"/>
              </w:rPr>
            </w:pPr>
            <w:r>
              <w:rPr>
                <w:lang w:val="en-GB"/>
              </w:rPr>
              <w:t>For Group (2) SS</w:t>
            </w:r>
          </w:p>
          <w:p w14:paraId="42657DB3" w14:textId="77777777" w:rsidR="001303AB" w:rsidRDefault="00D95AC5">
            <w:pPr>
              <w:pStyle w:val="afc"/>
              <w:numPr>
                <w:ilvl w:val="3"/>
                <w:numId w:val="16"/>
              </w:numPr>
              <w:rPr>
                <w:lang w:val="en-GB"/>
              </w:rPr>
            </w:pPr>
            <w:r>
              <w:rPr>
                <w:lang w:val="en-GB"/>
              </w:rPr>
              <w:t>A SS can be configured to be anywhere within a slot group of X slots</w:t>
            </w:r>
          </w:p>
          <w:p w14:paraId="4A941471" w14:textId="77777777" w:rsidR="001303AB" w:rsidRDefault="00D95AC5">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afc"/>
              <w:numPr>
                <w:ilvl w:val="1"/>
                <w:numId w:val="16"/>
              </w:numPr>
            </w:pPr>
            <w:r>
              <w:t>Option A-rev1</w:t>
            </w:r>
          </w:p>
          <w:p w14:paraId="2FA6C242" w14:textId="77777777" w:rsidR="001303AB" w:rsidRDefault="00D95AC5">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afc"/>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afc"/>
              <w:numPr>
                <w:ilvl w:val="2"/>
                <w:numId w:val="16"/>
              </w:numPr>
            </w:pPr>
            <w:r>
              <w:t>FFS: Where BD attempts for Group (2) SS occur, e.g.</w:t>
            </w:r>
          </w:p>
          <w:p w14:paraId="67D947FD" w14:textId="77777777" w:rsidR="001303AB" w:rsidRDefault="00D95AC5">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afc"/>
              <w:numPr>
                <w:ilvl w:val="3"/>
                <w:numId w:val="16"/>
              </w:numPr>
            </w:pPr>
            <w:r>
              <w:t>Enhancement 2: Introducing an offset n, applicable to both Group 1 and Group 2 SS</w:t>
            </w:r>
          </w:p>
          <w:p w14:paraId="74E8C6E1" w14:textId="77777777" w:rsidR="001303AB" w:rsidRDefault="00D95AC5">
            <w:pPr>
              <w:pStyle w:val="afc"/>
              <w:numPr>
                <w:ilvl w:val="2"/>
                <w:numId w:val="16"/>
              </w:numPr>
              <w:spacing w:line="252" w:lineRule="auto"/>
              <w:rPr>
                <w:lang w:val="en-GB"/>
              </w:rPr>
            </w:pPr>
            <w:r>
              <w:rPr>
                <w:lang w:val="en-GB"/>
              </w:rPr>
              <w:t>To be decided in  RAN1#106bis-e or RAN1#107-e</w:t>
            </w:r>
          </w:p>
          <w:p w14:paraId="2122A50B" w14:textId="77777777" w:rsidR="001303AB" w:rsidRDefault="00D95AC5">
            <w:pPr>
              <w:pStyle w:val="afc"/>
              <w:numPr>
                <w:ilvl w:val="3"/>
                <w:numId w:val="16"/>
              </w:numPr>
              <w:spacing w:line="252" w:lineRule="auto"/>
              <w:rPr>
                <w:lang w:val="en-GB"/>
              </w:rPr>
            </w:pPr>
            <w:r>
              <w:rPr>
                <w:lang w:val="en-GB"/>
              </w:rPr>
              <w:t>Supported values of Y</w:t>
            </w:r>
          </w:p>
          <w:p w14:paraId="492261D9"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afc"/>
              <w:numPr>
                <w:ilvl w:val="1"/>
                <w:numId w:val="16"/>
              </w:numPr>
            </w:pPr>
            <w:r>
              <w:t>Option A-FL1</w:t>
            </w:r>
          </w:p>
          <w:p w14:paraId="54AB4DD5" w14:textId="77777777" w:rsidR="001303AB" w:rsidRDefault="00D95AC5">
            <w:pPr>
              <w:pStyle w:val="afc"/>
              <w:numPr>
                <w:ilvl w:val="2"/>
                <w:numId w:val="16"/>
              </w:numPr>
            </w:pPr>
            <w:r>
              <w:rPr>
                <w:rFonts w:hint="eastAsia"/>
                <w:lang w:eastAsia="zh-CN"/>
              </w:rPr>
              <w:t>F</w:t>
            </w:r>
            <w:r>
              <w:rPr>
                <w:lang w:eastAsia="zh-CN"/>
              </w:rPr>
              <w:t>or Group (1) SS</w:t>
            </w:r>
          </w:p>
          <w:p w14:paraId="4AD5CE41" w14:textId="77777777" w:rsidR="001303AB" w:rsidRDefault="00D95AC5">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afc"/>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afc"/>
              <w:numPr>
                <w:ilvl w:val="2"/>
                <w:numId w:val="16"/>
              </w:numPr>
            </w:pPr>
            <w:r>
              <w:rPr>
                <w:rFonts w:hint="eastAsia"/>
                <w:lang w:eastAsia="zh-CN"/>
              </w:rPr>
              <w:t>F</w:t>
            </w:r>
            <w:r>
              <w:rPr>
                <w:lang w:eastAsia="zh-CN"/>
              </w:rPr>
              <w:t>or Group (2) SS</w:t>
            </w:r>
          </w:p>
          <w:p w14:paraId="348D076F" w14:textId="77777777" w:rsidR="001303AB" w:rsidRDefault="00D95AC5">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afc"/>
              <w:numPr>
                <w:ilvl w:val="2"/>
                <w:numId w:val="16"/>
              </w:numPr>
              <w:spacing w:line="252" w:lineRule="auto"/>
              <w:rPr>
                <w:lang w:val="en-GB"/>
              </w:rPr>
            </w:pPr>
            <w:r>
              <w:rPr>
                <w:lang w:val="en-GB"/>
              </w:rPr>
              <w:t>To be decided in in RAN1#106bis-e or RAN1#107-e</w:t>
            </w:r>
          </w:p>
          <w:p w14:paraId="3E10FB6C" w14:textId="77777777" w:rsidR="001303AB" w:rsidRDefault="00D95AC5">
            <w:pPr>
              <w:pStyle w:val="afc"/>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afc"/>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afc"/>
              <w:numPr>
                <w:ilvl w:val="1"/>
                <w:numId w:val="16"/>
              </w:numPr>
            </w:pPr>
            <w:r>
              <w:t>Option B-rev1</w:t>
            </w:r>
          </w:p>
          <w:p w14:paraId="58EA3833" w14:textId="77777777" w:rsidR="001303AB" w:rsidRDefault="00D95AC5">
            <w:pPr>
              <w:pStyle w:val="afc"/>
              <w:numPr>
                <w:ilvl w:val="2"/>
                <w:numId w:val="16"/>
              </w:numPr>
            </w:pPr>
            <w:r>
              <w:t>The reported capability indicates the BD/CCE budget within X slots</w:t>
            </w:r>
          </w:p>
          <w:p w14:paraId="2C7ADBD6" w14:textId="77777777" w:rsidR="001303AB" w:rsidRDefault="00D95AC5">
            <w:pPr>
              <w:pStyle w:val="afc"/>
              <w:numPr>
                <w:ilvl w:val="2"/>
                <w:numId w:val="16"/>
              </w:numPr>
              <w:rPr>
                <w:lang w:val="en-GB"/>
              </w:rPr>
            </w:pPr>
            <w:r>
              <w:rPr>
                <w:lang w:val="en-GB"/>
              </w:rPr>
              <w:t>For Group (1) SS</w:t>
            </w:r>
          </w:p>
          <w:p w14:paraId="00507C62" w14:textId="77777777" w:rsidR="001303AB" w:rsidRDefault="00D95AC5">
            <w:pPr>
              <w:pStyle w:val="afc"/>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afc"/>
              <w:numPr>
                <w:ilvl w:val="2"/>
                <w:numId w:val="16"/>
              </w:numPr>
              <w:rPr>
                <w:lang w:val="en-GB"/>
              </w:rPr>
            </w:pPr>
            <w:r>
              <w:rPr>
                <w:lang w:val="en-GB"/>
              </w:rPr>
              <w:t>For Group (2) SS</w:t>
            </w:r>
          </w:p>
          <w:p w14:paraId="05DF3B97" w14:textId="77777777" w:rsidR="001303AB" w:rsidRDefault="00D95AC5">
            <w:pPr>
              <w:pStyle w:val="afc"/>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afc"/>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afc"/>
              <w:numPr>
                <w:ilvl w:val="2"/>
                <w:numId w:val="16"/>
              </w:numPr>
              <w:spacing w:line="252" w:lineRule="auto"/>
              <w:rPr>
                <w:lang w:val="en-GB"/>
              </w:rPr>
            </w:pPr>
            <w:r>
              <w:rPr>
                <w:lang w:val="en-GB"/>
              </w:rPr>
              <w:t>To be decided in in RAN1#106bis-e or RAN1#107-e</w:t>
            </w:r>
          </w:p>
          <w:p w14:paraId="321D90E7" w14:textId="77777777" w:rsidR="001303AB" w:rsidRDefault="00D95AC5">
            <w:pPr>
              <w:pStyle w:val="afc"/>
              <w:numPr>
                <w:ilvl w:val="3"/>
                <w:numId w:val="16"/>
              </w:numPr>
              <w:spacing w:line="252" w:lineRule="auto"/>
              <w:rPr>
                <w:lang w:val="en-GB"/>
              </w:rPr>
            </w:pPr>
            <w:r>
              <w:rPr>
                <w:lang w:val="en-GB"/>
              </w:rPr>
              <w:t>Supported values of Y</w:t>
            </w:r>
          </w:p>
          <w:p w14:paraId="334CB912"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afc"/>
              <w:numPr>
                <w:ilvl w:val="2"/>
                <w:numId w:val="16"/>
              </w:numPr>
              <w:spacing w:line="252" w:lineRule="auto"/>
              <w:rPr>
                <w:lang w:val="en-GB"/>
              </w:rPr>
            </w:pPr>
            <w:r>
              <w:t>FFS: How to avoid back-to-back BD across slot groups</w:t>
            </w:r>
          </w:p>
          <w:p w14:paraId="57B421F1" w14:textId="77777777" w:rsidR="001303AB" w:rsidRDefault="00D95AC5">
            <w:pPr>
              <w:pStyle w:val="afc"/>
              <w:numPr>
                <w:ilvl w:val="1"/>
                <w:numId w:val="16"/>
              </w:numPr>
            </w:pPr>
            <w:r>
              <w:t>Option B-FL1</w:t>
            </w:r>
          </w:p>
          <w:p w14:paraId="34870BEB" w14:textId="77777777" w:rsidR="001303AB" w:rsidRDefault="00D95AC5">
            <w:pPr>
              <w:pStyle w:val="afc"/>
              <w:numPr>
                <w:ilvl w:val="2"/>
                <w:numId w:val="16"/>
              </w:numPr>
            </w:pPr>
            <w:r>
              <w:t>The reported capability indicates the BD/CCE budget within X slots</w:t>
            </w:r>
          </w:p>
          <w:p w14:paraId="3BE10964" w14:textId="77777777" w:rsidR="001303AB" w:rsidRDefault="00D95AC5">
            <w:pPr>
              <w:pStyle w:val="afc"/>
              <w:numPr>
                <w:ilvl w:val="2"/>
                <w:numId w:val="16"/>
              </w:numPr>
              <w:rPr>
                <w:lang w:val="en-GB"/>
              </w:rPr>
            </w:pPr>
            <w:r>
              <w:rPr>
                <w:lang w:val="en-GB"/>
              </w:rPr>
              <w:t>For Group (1) SS</w:t>
            </w:r>
          </w:p>
          <w:p w14:paraId="4332250F" w14:textId="77777777" w:rsidR="001303AB" w:rsidRDefault="00D95AC5">
            <w:pPr>
              <w:pStyle w:val="afc"/>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afc"/>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afc"/>
              <w:numPr>
                <w:ilvl w:val="2"/>
                <w:numId w:val="16"/>
              </w:numPr>
              <w:rPr>
                <w:lang w:val="en-GB"/>
              </w:rPr>
            </w:pPr>
            <w:r>
              <w:rPr>
                <w:lang w:val="en-GB"/>
              </w:rPr>
              <w:lastRenderedPageBreak/>
              <w:t>For Group (2) SS</w:t>
            </w:r>
          </w:p>
          <w:p w14:paraId="4D210409" w14:textId="77777777" w:rsidR="001303AB" w:rsidRDefault="00D95AC5">
            <w:pPr>
              <w:pStyle w:val="afc"/>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afc"/>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afc"/>
              <w:numPr>
                <w:ilvl w:val="2"/>
                <w:numId w:val="16"/>
              </w:numPr>
              <w:spacing w:line="252" w:lineRule="auto"/>
              <w:rPr>
                <w:lang w:val="en-GB"/>
              </w:rPr>
            </w:pPr>
            <w:r>
              <w:rPr>
                <w:lang w:val="en-GB"/>
              </w:rPr>
              <w:t>To be decided in in RAN1#106bis-e or RAN1#107-e</w:t>
            </w:r>
          </w:p>
          <w:p w14:paraId="543A4F94" w14:textId="77777777" w:rsidR="001303AB" w:rsidRDefault="00D95AC5">
            <w:pPr>
              <w:pStyle w:val="afc"/>
              <w:numPr>
                <w:ilvl w:val="3"/>
                <w:numId w:val="16"/>
              </w:numPr>
              <w:spacing w:line="252" w:lineRule="auto"/>
              <w:rPr>
                <w:lang w:val="en-GB"/>
              </w:rPr>
            </w:pPr>
            <w:r>
              <w:rPr>
                <w:lang w:val="en-GB"/>
              </w:rPr>
              <w:t>Supported values of Y</w:t>
            </w:r>
          </w:p>
          <w:p w14:paraId="5C0BD248" w14:textId="77777777" w:rsidR="001303AB" w:rsidRDefault="00D95AC5">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afc"/>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afc"/>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afc"/>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afc"/>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zh-CN"/>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afc"/>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afc"/>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afc"/>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afc"/>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afc"/>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afc"/>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afc"/>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afc"/>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afc"/>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afc"/>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afc"/>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afc"/>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afc"/>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afc"/>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afc"/>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afc"/>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afc"/>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afc"/>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afc"/>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afc"/>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afc"/>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afc"/>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afc"/>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afc"/>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afc"/>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afc"/>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afc"/>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afc"/>
              <w:numPr>
                <w:ilvl w:val="0"/>
                <w:numId w:val="29"/>
              </w:numPr>
              <w:rPr>
                <w:lang w:eastAsia="zh-CN"/>
              </w:rPr>
            </w:pPr>
            <w:r>
              <w:rPr>
                <w:lang w:eastAsia="zh-CN"/>
              </w:rPr>
              <w:t>We agree with Proposal 4</w:t>
            </w:r>
          </w:p>
          <w:p w14:paraId="57B49CAF" w14:textId="77777777" w:rsidR="001303AB" w:rsidRDefault="00D95AC5">
            <w:pPr>
              <w:pStyle w:val="afc"/>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afc"/>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afc"/>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4B8C3EAD" w14:textId="77777777" w:rsidR="001303AB" w:rsidRDefault="00D95AC5">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等线"/>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afc"/>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afc"/>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afc"/>
              <w:numPr>
                <w:ilvl w:val="0"/>
                <w:numId w:val="16"/>
              </w:numPr>
              <w:spacing w:line="240" w:lineRule="auto"/>
            </w:pPr>
            <w:r>
              <w:t>Option B-rev</w:t>
            </w:r>
            <w:r>
              <w:rPr>
                <w:color w:val="FF0000"/>
              </w:rPr>
              <w:t>2</w:t>
            </w:r>
          </w:p>
          <w:p w14:paraId="6CBCCF67" w14:textId="77777777" w:rsidR="001303AB" w:rsidRDefault="00D95AC5">
            <w:pPr>
              <w:pStyle w:val="afc"/>
              <w:numPr>
                <w:ilvl w:val="1"/>
                <w:numId w:val="16"/>
              </w:numPr>
              <w:spacing w:line="240" w:lineRule="auto"/>
            </w:pPr>
            <w:r>
              <w:t>The reported capability indicates the BD/CCE budget within X slots</w:t>
            </w:r>
          </w:p>
          <w:p w14:paraId="226D9210" w14:textId="77777777" w:rsidR="001303AB" w:rsidRDefault="00D95AC5">
            <w:pPr>
              <w:pStyle w:val="afc"/>
              <w:numPr>
                <w:ilvl w:val="1"/>
                <w:numId w:val="16"/>
              </w:numPr>
              <w:spacing w:line="240" w:lineRule="auto"/>
            </w:pPr>
            <w:r>
              <w:t>For Group (1) SS</w:t>
            </w:r>
          </w:p>
          <w:p w14:paraId="60893C2A"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afc"/>
              <w:numPr>
                <w:ilvl w:val="1"/>
                <w:numId w:val="16"/>
              </w:numPr>
              <w:spacing w:line="240" w:lineRule="auto"/>
            </w:pPr>
            <w:r>
              <w:t>For Group (2) SS</w:t>
            </w:r>
          </w:p>
          <w:p w14:paraId="723ECDC0" w14:textId="77777777" w:rsidR="001303AB" w:rsidRDefault="00D95AC5">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afc"/>
              <w:numPr>
                <w:ilvl w:val="3"/>
                <w:numId w:val="16"/>
              </w:numPr>
              <w:spacing w:line="240" w:lineRule="auto"/>
              <w:rPr>
                <w:color w:val="FF0000"/>
              </w:rPr>
            </w:pPr>
            <w:r>
              <w:rPr>
                <w:color w:val="FF0000"/>
              </w:rPr>
              <w:t>Alt 1) slot n0 and slot n0+X</w:t>
            </w:r>
          </w:p>
          <w:p w14:paraId="51EC5019" w14:textId="77777777" w:rsidR="001303AB" w:rsidRDefault="00D95AC5">
            <w:pPr>
              <w:pStyle w:val="afc"/>
              <w:numPr>
                <w:ilvl w:val="3"/>
                <w:numId w:val="16"/>
              </w:numPr>
              <w:spacing w:line="240" w:lineRule="auto"/>
              <w:rPr>
                <w:color w:val="FF0000"/>
              </w:rPr>
            </w:pPr>
            <w:r>
              <w:rPr>
                <w:color w:val="FF0000"/>
              </w:rPr>
              <w:t>Alt 2) slot n0 only</w:t>
            </w:r>
          </w:p>
          <w:p w14:paraId="71C9AA44" w14:textId="77777777" w:rsidR="001303AB" w:rsidRDefault="00D95AC5">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afc"/>
              <w:numPr>
                <w:ilvl w:val="1"/>
                <w:numId w:val="16"/>
              </w:numPr>
              <w:spacing w:line="240" w:lineRule="auto"/>
              <w:rPr>
                <w:color w:val="FF0000"/>
              </w:rPr>
            </w:pPr>
            <w:r>
              <w:rPr>
                <w:color w:val="FF0000"/>
              </w:rPr>
              <w:t>Supported the following values of Y’s</w:t>
            </w:r>
          </w:p>
          <w:p w14:paraId="20B91B8C"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afc"/>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afc"/>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afc"/>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afc"/>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afc"/>
        <w:numPr>
          <w:ilvl w:val="3"/>
          <w:numId w:val="16"/>
        </w:numPr>
        <w:rPr>
          <w:lang w:val="en-GB"/>
        </w:rPr>
      </w:pPr>
      <w:r>
        <w:rPr>
          <w:lang w:val="en-GB"/>
        </w:rPr>
        <w:t>A SS is monitored within Y consecutive slots within a slot group of X slots</w:t>
      </w:r>
    </w:p>
    <w:p w14:paraId="44C6A453" w14:textId="77777777" w:rsidR="001303AB" w:rsidRDefault="00D95AC5">
      <w:pPr>
        <w:pStyle w:val="afc"/>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afc"/>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afc"/>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afc"/>
        <w:numPr>
          <w:ilvl w:val="2"/>
          <w:numId w:val="16"/>
        </w:numPr>
        <w:rPr>
          <w:lang w:val="en-GB"/>
        </w:rPr>
      </w:pPr>
      <w:r>
        <w:rPr>
          <w:lang w:val="en-GB"/>
        </w:rPr>
        <w:t>Supported combinations of (X,Y)</w:t>
      </w:r>
    </w:p>
    <w:p w14:paraId="0A31B282" w14:textId="77777777" w:rsidR="001303AB" w:rsidRDefault="00D95AC5">
      <w:pPr>
        <w:pStyle w:val="afc"/>
        <w:numPr>
          <w:ilvl w:val="3"/>
          <w:numId w:val="16"/>
        </w:numPr>
        <w:rPr>
          <w:lang w:val="en-GB"/>
        </w:rPr>
      </w:pPr>
      <w:r>
        <w:rPr>
          <w:lang w:val="en-GB"/>
        </w:rPr>
        <w:t>A UE capable of multi-slot monitoring mandatorily supports</w:t>
      </w:r>
    </w:p>
    <w:p w14:paraId="2F99DEFF" w14:textId="77777777" w:rsidR="001303AB" w:rsidRDefault="00D95AC5">
      <w:pPr>
        <w:pStyle w:val="afc"/>
        <w:numPr>
          <w:ilvl w:val="4"/>
          <w:numId w:val="16"/>
        </w:numPr>
        <w:rPr>
          <w:lang w:val="en-GB"/>
        </w:rPr>
      </w:pPr>
      <w:r>
        <w:rPr>
          <w:lang w:val="en-GB"/>
        </w:rPr>
        <w:t>For SCS 480 kHz: (X,Y) = (4,1)</w:t>
      </w:r>
    </w:p>
    <w:p w14:paraId="3D0CB833" w14:textId="77777777" w:rsidR="001303AB" w:rsidRDefault="00D95AC5">
      <w:pPr>
        <w:pStyle w:val="afc"/>
        <w:numPr>
          <w:ilvl w:val="4"/>
          <w:numId w:val="16"/>
        </w:numPr>
        <w:rPr>
          <w:lang w:val="en-GB"/>
        </w:rPr>
      </w:pPr>
      <w:r>
        <w:rPr>
          <w:lang w:val="en-GB"/>
        </w:rPr>
        <w:t>For SCS 960 kHz: (X,Y) = (8,1)</w:t>
      </w:r>
    </w:p>
    <w:p w14:paraId="2C035505" w14:textId="77777777" w:rsidR="001303AB" w:rsidRDefault="00D95AC5">
      <w:pPr>
        <w:pStyle w:val="afc"/>
        <w:numPr>
          <w:ilvl w:val="3"/>
          <w:numId w:val="16"/>
        </w:numPr>
        <w:rPr>
          <w:lang w:val="en-GB"/>
        </w:rPr>
      </w:pPr>
      <w:r>
        <w:rPr>
          <w:lang w:val="en-GB"/>
        </w:rPr>
        <w:t>A UE capable of multi-slot monitoring optionally supports</w:t>
      </w:r>
    </w:p>
    <w:p w14:paraId="16E16827" w14:textId="77777777" w:rsidR="001303AB" w:rsidRDefault="00D95AC5">
      <w:pPr>
        <w:pStyle w:val="afc"/>
        <w:numPr>
          <w:ilvl w:val="4"/>
          <w:numId w:val="16"/>
        </w:numPr>
        <w:rPr>
          <w:lang w:val="en-GB"/>
        </w:rPr>
      </w:pPr>
      <w:r>
        <w:rPr>
          <w:lang w:val="en-GB"/>
        </w:rPr>
        <w:t>For SCS 480 kHz: (X,Y) = (4,2)</w:t>
      </w:r>
    </w:p>
    <w:p w14:paraId="606550A5" w14:textId="77777777" w:rsidR="001303AB" w:rsidRDefault="00D95AC5">
      <w:pPr>
        <w:pStyle w:val="afc"/>
        <w:numPr>
          <w:ilvl w:val="4"/>
          <w:numId w:val="16"/>
        </w:numPr>
        <w:rPr>
          <w:lang w:val="en-GB"/>
        </w:rPr>
      </w:pPr>
      <w:r>
        <w:rPr>
          <w:lang w:val="en-GB"/>
        </w:rPr>
        <w:t>For SCS 960 kHz: (X,Y) = (8,4)</w:t>
      </w:r>
    </w:p>
    <w:p w14:paraId="29D3B7CA" w14:textId="77777777" w:rsidR="001303AB" w:rsidRDefault="00D95AC5">
      <w:pPr>
        <w:pStyle w:val="afc"/>
        <w:numPr>
          <w:ilvl w:val="3"/>
          <w:numId w:val="16"/>
        </w:numPr>
        <w:rPr>
          <w:lang w:val="en-GB"/>
        </w:rPr>
      </w:pPr>
      <w:r>
        <w:rPr>
          <w:lang w:val="en-GB"/>
        </w:rPr>
        <w:t>Additional values are deprioritised</w:t>
      </w:r>
    </w:p>
    <w:p w14:paraId="3A3E7ECC"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afc"/>
        <w:numPr>
          <w:ilvl w:val="3"/>
          <w:numId w:val="16"/>
        </w:numPr>
        <w:rPr>
          <w:lang w:val="en-GB"/>
        </w:rPr>
      </w:pPr>
      <w:r>
        <w:rPr>
          <w:lang w:val="en-GB"/>
        </w:rPr>
        <w:t>For Y=1: FG3-5 (monitoring Group (1) SSs in any OFDM symbols of the slot)</w:t>
      </w:r>
    </w:p>
    <w:p w14:paraId="4DB354A5"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afc"/>
        <w:numPr>
          <w:ilvl w:val="3"/>
          <w:numId w:val="16"/>
        </w:numPr>
        <w:rPr>
          <w:lang w:val="en-GB"/>
        </w:rPr>
      </w:pPr>
      <w:r>
        <w:rPr>
          <w:lang w:val="en-GB"/>
        </w:rPr>
        <w:t>A SS is monitored within Y consecutive slots within a slot group of X slots</w:t>
      </w:r>
    </w:p>
    <w:p w14:paraId="08D6FBE1" w14:textId="77777777" w:rsidR="001303AB" w:rsidRDefault="00D95AC5">
      <w:pPr>
        <w:pStyle w:val="afc"/>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afc"/>
        <w:numPr>
          <w:ilvl w:val="2"/>
          <w:numId w:val="16"/>
        </w:numPr>
        <w:rPr>
          <w:lang w:val="en-GB"/>
        </w:rPr>
      </w:pPr>
      <w:r>
        <w:rPr>
          <w:lang w:val="en-GB"/>
        </w:rPr>
        <w:t>Supported combinations of (X,Y)</w:t>
      </w:r>
    </w:p>
    <w:p w14:paraId="1F13A7E7" w14:textId="77777777" w:rsidR="001303AB" w:rsidRDefault="00D95AC5">
      <w:pPr>
        <w:pStyle w:val="afc"/>
        <w:numPr>
          <w:ilvl w:val="3"/>
          <w:numId w:val="16"/>
        </w:numPr>
        <w:rPr>
          <w:lang w:val="en-GB"/>
        </w:rPr>
      </w:pPr>
      <w:r>
        <w:rPr>
          <w:lang w:val="en-GB"/>
        </w:rPr>
        <w:t>A UE capable of multi-slot monitoring mandatorily supports</w:t>
      </w:r>
    </w:p>
    <w:p w14:paraId="501CF9FF" w14:textId="77777777" w:rsidR="001303AB" w:rsidRDefault="00D95AC5">
      <w:pPr>
        <w:pStyle w:val="afc"/>
        <w:numPr>
          <w:ilvl w:val="4"/>
          <w:numId w:val="16"/>
        </w:numPr>
        <w:rPr>
          <w:lang w:val="en-GB"/>
        </w:rPr>
      </w:pPr>
      <w:r>
        <w:rPr>
          <w:lang w:val="en-GB"/>
        </w:rPr>
        <w:t>For SCS 480 kHz: (X,Y) = (4,1)</w:t>
      </w:r>
    </w:p>
    <w:p w14:paraId="02AF8481" w14:textId="77777777" w:rsidR="001303AB" w:rsidRDefault="00D95AC5">
      <w:pPr>
        <w:pStyle w:val="afc"/>
        <w:numPr>
          <w:ilvl w:val="4"/>
          <w:numId w:val="16"/>
        </w:numPr>
        <w:rPr>
          <w:lang w:val="en-GB"/>
        </w:rPr>
      </w:pPr>
      <w:r>
        <w:rPr>
          <w:lang w:val="en-GB"/>
        </w:rPr>
        <w:t>For SCS 960 kHz: (X,Y) = (8,1)</w:t>
      </w:r>
    </w:p>
    <w:p w14:paraId="227B0CAD" w14:textId="77777777" w:rsidR="001303AB" w:rsidRDefault="00D95AC5">
      <w:pPr>
        <w:pStyle w:val="afc"/>
        <w:numPr>
          <w:ilvl w:val="3"/>
          <w:numId w:val="16"/>
        </w:numPr>
        <w:rPr>
          <w:lang w:val="en-GB"/>
        </w:rPr>
      </w:pPr>
      <w:r>
        <w:rPr>
          <w:lang w:val="en-GB"/>
        </w:rPr>
        <w:t>A UE capable of multi-slot monitoring optionally supports</w:t>
      </w:r>
    </w:p>
    <w:p w14:paraId="65A20B16" w14:textId="77777777" w:rsidR="001303AB" w:rsidRDefault="00D95AC5">
      <w:pPr>
        <w:pStyle w:val="afc"/>
        <w:numPr>
          <w:ilvl w:val="4"/>
          <w:numId w:val="16"/>
        </w:numPr>
        <w:rPr>
          <w:lang w:val="en-GB"/>
        </w:rPr>
      </w:pPr>
      <w:r>
        <w:rPr>
          <w:lang w:val="en-GB"/>
        </w:rPr>
        <w:t>For SCS 480 kHz: (X,Y) = (4,2)</w:t>
      </w:r>
    </w:p>
    <w:p w14:paraId="14902B5A" w14:textId="77777777" w:rsidR="001303AB" w:rsidRDefault="00D95AC5">
      <w:pPr>
        <w:pStyle w:val="afc"/>
        <w:numPr>
          <w:ilvl w:val="4"/>
          <w:numId w:val="16"/>
        </w:numPr>
        <w:rPr>
          <w:lang w:val="en-GB"/>
        </w:rPr>
      </w:pPr>
      <w:r>
        <w:rPr>
          <w:lang w:val="en-GB"/>
        </w:rPr>
        <w:t>For SCS 960 kHz: (X,Y) = (8,4)</w:t>
      </w:r>
    </w:p>
    <w:p w14:paraId="79DBE5CC" w14:textId="77777777" w:rsidR="001303AB" w:rsidRDefault="00D95AC5">
      <w:pPr>
        <w:pStyle w:val="afc"/>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afc"/>
        <w:numPr>
          <w:ilvl w:val="3"/>
          <w:numId w:val="16"/>
        </w:numPr>
        <w:rPr>
          <w:lang w:val="en-GB"/>
        </w:rPr>
      </w:pPr>
      <w:r>
        <w:rPr>
          <w:lang w:val="en-GB"/>
        </w:rPr>
        <w:t>For Y=1: FG3-5 (monitoring Group (1) SSs in any OFDM symbols of the slot)</w:t>
      </w:r>
    </w:p>
    <w:p w14:paraId="269D44B2"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afc"/>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afc"/>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afc"/>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afc"/>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afc"/>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afc"/>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afc"/>
              <w:ind w:left="0"/>
              <w:rPr>
                <w:lang w:eastAsia="zh-CN"/>
              </w:rPr>
            </w:pPr>
          </w:p>
          <w:p w14:paraId="4E758FC3" w14:textId="77777777" w:rsidR="001303AB" w:rsidRDefault="00D95AC5">
            <w:pPr>
              <w:pStyle w:val="afc"/>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afc"/>
              <w:ind w:left="0"/>
              <w:rPr>
                <w:lang w:eastAsia="zh-CN"/>
              </w:rPr>
            </w:pPr>
          </w:p>
          <w:p w14:paraId="50519AFB" w14:textId="77777777" w:rsidR="001303AB" w:rsidRDefault="00D95AC5">
            <w:pPr>
              <w:pStyle w:val="afc"/>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afc"/>
              <w:numPr>
                <w:ilvl w:val="3"/>
                <w:numId w:val="16"/>
              </w:numPr>
              <w:rPr>
                <w:lang w:val="en-GB"/>
              </w:rPr>
            </w:pPr>
            <w:r>
              <w:rPr>
                <w:lang w:val="en-GB"/>
              </w:rPr>
              <w:t>A UE capable of multi-slot monitoring optionally supports</w:t>
            </w:r>
          </w:p>
          <w:p w14:paraId="3285722D" w14:textId="77777777" w:rsidR="001303AB" w:rsidRDefault="00D95AC5">
            <w:pPr>
              <w:pStyle w:val="afc"/>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afc"/>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afc"/>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afc"/>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afc"/>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afc"/>
              <w:numPr>
                <w:ilvl w:val="3"/>
                <w:numId w:val="16"/>
              </w:numPr>
              <w:rPr>
                <w:lang w:val="en-GB"/>
              </w:rPr>
            </w:pPr>
            <w:r>
              <w:rPr>
                <w:lang w:val="en-GB"/>
              </w:rPr>
              <w:t>A SS is monitored within Y consecutive slots within a slot group of X slots</w:t>
            </w:r>
          </w:p>
          <w:p w14:paraId="7F00D63F" w14:textId="77777777" w:rsidR="001303AB" w:rsidRDefault="00D95AC5">
            <w:pPr>
              <w:pStyle w:val="afc"/>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afc"/>
              <w:numPr>
                <w:ilvl w:val="4"/>
                <w:numId w:val="16"/>
              </w:numPr>
              <w:rPr>
                <w:lang w:val="en-GB"/>
              </w:rPr>
            </w:pPr>
            <w:r>
              <w:rPr>
                <w:color w:val="FF0000"/>
                <w:lang w:val="en-GB"/>
              </w:rPr>
              <w:t>The location of Y slots is indicated by RRC configuration.</w:t>
            </w:r>
          </w:p>
          <w:p w14:paraId="443952D5"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afc"/>
              <w:widowControl/>
              <w:numPr>
                <w:ilvl w:val="3"/>
                <w:numId w:val="16"/>
              </w:numPr>
              <w:rPr>
                <w:lang w:val="en-GB"/>
              </w:rPr>
            </w:pPr>
            <w:r>
              <w:rPr>
                <w:lang w:val="en-GB"/>
              </w:rPr>
              <w:t>A UE capable of multi-slot monitoring optionally supports</w:t>
            </w:r>
          </w:p>
          <w:p w14:paraId="3F05CB6E" w14:textId="77777777" w:rsidR="001303AB" w:rsidRDefault="00D95AC5">
            <w:pPr>
              <w:pStyle w:val="afc"/>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afc"/>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afc"/>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afc"/>
              <w:numPr>
                <w:ilvl w:val="3"/>
                <w:numId w:val="16"/>
              </w:numPr>
              <w:rPr>
                <w:lang w:val="en-GB"/>
              </w:rPr>
            </w:pPr>
            <w:r>
              <w:rPr>
                <w:lang w:val="en-GB"/>
              </w:rPr>
              <w:t>A UE capable of multi-slot monitoring optionally supports</w:t>
            </w:r>
          </w:p>
          <w:p w14:paraId="685220AC" w14:textId="77777777" w:rsidR="001303AB" w:rsidRDefault="00D95AC5">
            <w:pPr>
              <w:pStyle w:val="afc"/>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afc"/>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afc"/>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afc"/>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afc"/>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afc"/>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afc"/>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afc"/>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afc"/>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afc"/>
              <w:numPr>
                <w:ilvl w:val="3"/>
                <w:numId w:val="16"/>
              </w:numPr>
              <w:rPr>
                <w:lang w:val="en-GB"/>
              </w:rPr>
            </w:pPr>
            <w:r>
              <w:rPr>
                <w:lang w:val="en-GB"/>
              </w:rPr>
              <w:t>A SS is monitored within Y consecutive slots within a slot group of X slots</w:t>
            </w:r>
          </w:p>
          <w:p w14:paraId="0048417C"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afc"/>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afc"/>
              <w:numPr>
                <w:ilvl w:val="2"/>
                <w:numId w:val="16"/>
              </w:numPr>
              <w:rPr>
                <w:lang w:val="en-GB"/>
              </w:rPr>
            </w:pPr>
            <w:r>
              <w:rPr>
                <w:lang w:val="en-GB"/>
              </w:rPr>
              <w:t>Supported combinations of (X,Y)</w:t>
            </w:r>
          </w:p>
          <w:p w14:paraId="439CEE8A" w14:textId="77777777" w:rsidR="001303AB" w:rsidRDefault="00D95AC5">
            <w:pPr>
              <w:pStyle w:val="afc"/>
              <w:numPr>
                <w:ilvl w:val="3"/>
                <w:numId w:val="16"/>
              </w:numPr>
              <w:rPr>
                <w:lang w:val="en-GB"/>
              </w:rPr>
            </w:pPr>
            <w:r>
              <w:rPr>
                <w:lang w:val="en-GB"/>
              </w:rPr>
              <w:t>A UE capable of multi-slot monitoring mandatorily supports</w:t>
            </w:r>
          </w:p>
          <w:p w14:paraId="76780456" w14:textId="77777777" w:rsidR="001303AB" w:rsidRDefault="00D95AC5">
            <w:pPr>
              <w:pStyle w:val="afc"/>
              <w:numPr>
                <w:ilvl w:val="4"/>
                <w:numId w:val="16"/>
              </w:numPr>
              <w:rPr>
                <w:lang w:val="en-GB"/>
              </w:rPr>
            </w:pPr>
            <w:r>
              <w:rPr>
                <w:lang w:val="en-GB"/>
              </w:rPr>
              <w:t>For SCS 480 kHz: (X,Y) = (4,1)</w:t>
            </w:r>
          </w:p>
          <w:p w14:paraId="754B6022" w14:textId="77777777" w:rsidR="001303AB" w:rsidRDefault="00D95AC5">
            <w:pPr>
              <w:pStyle w:val="afc"/>
              <w:numPr>
                <w:ilvl w:val="4"/>
                <w:numId w:val="16"/>
              </w:numPr>
              <w:rPr>
                <w:lang w:val="en-GB"/>
              </w:rPr>
            </w:pPr>
            <w:r>
              <w:rPr>
                <w:lang w:val="en-GB"/>
              </w:rPr>
              <w:t>For SCS 960 kHz: (X,Y) = (8,1)</w:t>
            </w:r>
          </w:p>
          <w:p w14:paraId="67B3F328" w14:textId="77777777" w:rsidR="001303AB" w:rsidRDefault="00D95AC5">
            <w:pPr>
              <w:pStyle w:val="afc"/>
              <w:numPr>
                <w:ilvl w:val="3"/>
                <w:numId w:val="16"/>
              </w:numPr>
              <w:rPr>
                <w:lang w:val="en-GB"/>
              </w:rPr>
            </w:pPr>
            <w:r>
              <w:rPr>
                <w:lang w:val="en-GB"/>
              </w:rPr>
              <w:t>A UE capable of multi-slot monitoring optionally supports</w:t>
            </w:r>
          </w:p>
          <w:p w14:paraId="7D843AA4" w14:textId="77777777" w:rsidR="001303AB" w:rsidRDefault="00D95AC5">
            <w:pPr>
              <w:pStyle w:val="afc"/>
              <w:numPr>
                <w:ilvl w:val="4"/>
                <w:numId w:val="16"/>
              </w:numPr>
              <w:rPr>
                <w:lang w:val="en-GB"/>
              </w:rPr>
            </w:pPr>
            <w:r>
              <w:rPr>
                <w:lang w:val="en-GB"/>
              </w:rPr>
              <w:t>For SCS 480 kHz: (X,Y) = (4,2)</w:t>
            </w:r>
          </w:p>
          <w:p w14:paraId="54CAA21C" w14:textId="77777777" w:rsidR="001303AB" w:rsidRDefault="00D95AC5">
            <w:pPr>
              <w:pStyle w:val="afc"/>
              <w:numPr>
                <w:ilvl w:val="4"/>
                <w:numId w:val="16"/>
              </w:numPr>
              <w:rPr>
                <w:lang w:val="en-GB"/>
              </w:rPr>
            </w:pPr>
            <w:r>
              <w:rPr>
                <w:lang w:val="en-GB"/>
              </w:rPr>
              <w:t>For SCS 960 kHz: (X,Y) = (8,4)</w:t>
            </w:r>
          </w:p>
          <w:p w14:paraId="7CB9E1D0" w14:textId="77777777" w:rsidR="001303AB" w:rsidRDefault="00D95AC5">
            <w:pPr>
              <w:pStyle w:val="afc"/>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afc"/>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afc"/>
              <w:numPr>
                <w:ilvl w:val="4"/>
                <w:numId w:val="16"/>
              </w:numPr>
              <w:rPr>
                <w:lang w:val="en-GB"/>
              </w:rPr>
            </w:pPr>
            <w:r>
              <w:rPr>
                <w:lang w:val="en-GB"/>
              </w:rPr>
              <w:t>monitoring Group (1) SSs in any OFDM symbols of the slot</w:t>
            </w:r>
          </w:p>
          <w:p w14:paraId="32E21A45" w14:textId="77777777" w:rsidR="001303AB" w:rsidRDefault="00D95AC5">
            <w:pPr>
              <w:pStyle w:val="afc"/>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afc"/>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afc"/>
              <w:numPr>
                <w:ilvl w:val="3"/>
                <w:numId w:val="16"/>
              </w:numPr>
              <w:rPr>
                <w:lang w:val="en-GB"/>
              </w:rPr>
            </w:pPr>
            <w:r>
              <w:rPr>
                <w:lang w:val="en-GB"/>
              </w:rPr>
              <w:t>For Y=1: FG3-5 (monitoring Group (1) SSs in any OFDM symbols of the slot)</w:t>
            </w:r>
          </w:p>
          <w:p w14:paraId="24738EDA"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afc"/>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afc"/>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afc"/>
              <w:rPr>
                <w:rFonts w:eastAsia="MS Mincho"/>
                <w:lang w:eastAsia="ja-JP"/>
              </w:rPr>
            </w:pPr>
          </w:p>
          <w:p w14:paraId="5A6D97B9"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afc"/>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afc"/>
              <w:numPr>
                <w:ilvl w:val="4"/>
                <w:numId w:val="16"/>
              </w:numPr>
              <w:rPr>
                <w:color w:val="FF0000"/>
                <w:lang w:val="en-GB"/>
              </w:rPr>
            </w:pPr>
            <w:r>
              <w:rPr>
                <w:color w:val="FF0000"/>
                <w:lang w:val="en-GB"/>
              </w:rPr>
              <w:t>FFS: The specific OFDM symbols</w:t>
            </w:r>
          </w:p>
          <w:p w14:paraId="4AD58BA7" w14:textId="77777777" w:rsidR="001303AB" w:rsidRDefault="00D95AC5">
            <w:pPr>
              <w:pStyle w:val="afc"/>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宋体"/>
                <w:lang w:eastAsia="zh-CN"/>
              </w:rPr>
            </w:pPr>
            <w:r>
              <w:rPr>
                <w:rFonts w:eastAsia="宋体" w:hint="eastAsia"/>
                <w:lang w:eastAsia="zh-CN"/>
              </w:rPr>
              <w:t>Generally we are fine with this proposal due to time constraints.</w:t>
            </w:r>
          </w:p>
          <w:p w14:paraId="443B9BD9" w14:textId="77777777" w:rsidR="001303AB" w:rsidRDefault="00D95AC5">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14:paraId="3DD6B829" w14:textId="77777777" w:rsidR="001303AB" w:rsidRDefault="00D95AC5">
            <w:pPr>
              <w:rPr>
                <w:lang w:eastAsia="zh-CN"/>
              </w:rPr>
            </w:pPr>
            <w:r>
              <w:rPr>
                <w:rFonts w:eastAsia="宋体"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宋体"/>
                <w:lang w:eastAsia="zh-CN"/>
              </w:rPr>
            </w:pPr>
            <w:r>
              <w:rPr>
                <w:rFonts w:eastAsia="宋体" w:hint="eastAsia"/>
                <w:lang w:eastAsia="zh-CN"/>
              </w:rPr>
              <w:t>Special solution is needed when n0 locates in the last slot of a slot group</w:t>
            </w:r>
          </w:p>
          <w:p w14:paraId="458CDC6C" w14:textId="77777777" w:rsidR="001303AB" w:rsidRDefault="00D95AC5">
            <w:pPr>
              <w:numPr>
                <w:ilvl w:val="0"/>
                <w:numId w:val="39"/>
              </w:numPr>
              <w:rPr>
                <w:rFonts w:eastAsia="宋体"/>
                <w:lang w:eastAsia="zh-CN"/>
              </w:rPr>
            </w:pPr>
            <w:r>
              <w:rPr>
                <w:rFonts w:eastAsia="宋体" w:hint="eastAsia"/>
                <w:lang w:eastAsia="zh-CN"/>
              </w:rPr>
              <w:t>Back-to-back monitoring (but once every 20ms)</w:t>
            </w:r>
          </w:p>
          <w:p w14:paraId="47F0F3A6" w14:textId="77777777" w:rsidR="001303AB" w:rsidRDefault="00D95AC5">
            <w:pPr>
              <w:numPr>
                <w:ilvl w:val="0"/>
                <w:numId w:val="39"/>
              </w:numPr>
              <w:rPr>
                <w:rFonts w:eastAsia="宋体"/>
                <w:lang w:eastAsia="zh-CN"/>
              </w:rPr>
            </w:pPr>
            <w:r>
              <w:rPr>
                <w:rFonts w:eastAsia="宋体"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宋体"/>
                <w:lang w:eastAsia="zh-CN"/>
              </w:rPr>
            </w:pPr>
            <w:r>
              <w:rPr>
                <w:rFonts w:eastAsia="宋体" w:hint="eastAsia"/>
                <w:lang w:eastAsia="zh-CN"/>
              </w:rPr>
              <w:t>Spec impact</w:t>
            </w:r>
          </w:p>
          <w:p w14:paraId="2157E920" w14:textId="77777777" w:rsidR="001303AB" w:rsidRDefault="00D95AC5">
            <w:pPr>
              <w:numPr>
                <w:ilvl w:val="0"/>
                <w:numId w:val="39"/>
              </w:numPr>
              <w:rPr>
                <w:rFonts w:eastAsia="宋体"/>
                <w:lang w:eastAsia="zh-CN"/>
              </w:rPr>
            </w:pPr>
            <w:r>
              <w:rPr>
                <w:rFonts w:eastAsia="宋体" w:hint="eastAsia"/>
                <w:lang w:eastAsia="zh-CN"/>
              </w:rPr>
              <w:t>Increase standardization complexity</w:t>
            </w:r>
          </w:p>
          <w:p w14:paraId="44972334" w14:textId="77777777" w:rsidR="001303AB" w:rsidRDefault="00D95AC5">
            <w:pPr>
              <w:numPr>
                <w:ilvl w:val="0"/>
                <w:numId w:val="39"/>
              </w:numPr>
              <w:rPr>
                <w:rFonts w:eastAsia="宋体"/>
                <w:lang w:eastAsia="zh-CN"/>
              </w:rPr>
            </w:pPr>
            <w:r>
              <w:rPr>
                <w:rFonts w:eastAsia="宋体"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宋体"/>
                <w:u w:val="single"/>
                <w:lang w:eastAsia="zh-CN"/>
              </w:rPr>
            </w:pPr>
            <w:r>
              <w:rPr>
                <w:rFonts w:eastAsia="宋体" w:hint="eastAsia"/>
                <w:u w:val="single"/>
                <w:lang w:eastAsia="zh-CN"/>
              </w:rPr>
              <w:t>The value of X and Y</w:t>
            </w:r>
          </w:p>
          <w:p w14:paraId="0C40209A" w14:textId="77777777" w:rsidR="001303AB" w:rsidRDefault="00D95AC5">
            <w:pPr>
              <w:rPr>
                <w:rFonts w:eastAsia="宋体"/>
                <w:lang w:eastAsia="zh-CN"/>
              </w:rPr>
            </w:pPr>
            <w:r>
              <w:rPr>
                <w:rFonts w:eastAsia="宋体" w:hint="eastAsia"/>
                <w:lang w:eastAsia="zh-CN"/>
              </w:rPr>
              <w:t>We support moderator</w:t>
            </w:r>
            <w:r>
              <w:rPr>
                <w:rFonts w:eastAsia="宋体"/>
                <w:lang w:eastAsia="zh-CN"/>
              </w:rPr>
              <w:t>’</w:t>
            </w:r>
            <w:r>
              <w:rPr>
                <w:rFonts w:eastAsia="宋体"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宋体" w:hint="eastAsia"/>
                <w:lang w:eastAsia="zh-CN"/>
              </w:rPr>
              <w:t>).</w:t>
            </w:r>
          </w:p>
          <w:p w14:paraId="132F7DC1" w14:textId="77777777" w:rsidR="001303AB" w:rsidRDefault="00D95AC5">
            <w:pPr>
              <w:rPr>
                <w:rFonts w:eastAsia="MS Mincho"/>
                <w:lang w:eastAsia="zh-CN"/>
              </w:rPr>
            </w:pPr>
            <w:r>
              <w:rPr>
                <w:rFonts w:eastAsia="宋体" w:hint="eastAsia"/>
                <w:lang w:eastAsia="zh-CN"/>
              </w:rPr>
              <w:t xml:space="preserve">We think </w:t>
            </w:r>
            <w:r>
              <w:rPr>
                <w:rFonts w:eastAsia="MS Mincho" w:hint="eastAsia"/>
                <w:lang w:eastAsia="zh-CN"/>
              </w:rPr>
              <w:t>it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宋体"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宋体"/>
                <w:lang w:eastAsia="zh-CN"/>
              </w:rPr>
              <w:t>use FG 3-1 as a mandatory capability</w:t>
            </w:r>
            <w:r>
              <w:rPr>
                <w:rFonts w:eastAsia="宋体" w:hint="eastAsia"/>
                <w:lang w:eastAsia="zh-CN"/>
              </w:rPr>
              <w:t xml:space="preserve">, Group (1) SSs are monitored in the first 3 OFDM symbols of Y for different </w:t>
            </w:r>
            <w:r>
              <w:rPr>
                <w:rFonts w:eastAsia="宋体"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宋体"/>
                <w:lang w:eastAsia="zh-CN"/>
              </w:rPr>
            </w:pPr>
            <w:r>
              <w:rPr>
                <w:rFonts w:eastAsia="宋体"/>
                <w:lang w:eastAsia="zh-CN"/>
              </w:rPr>
              <w:t>We are willing to compromise on this due to multi-slot PDCCH monitoring is important for 480K and 960K SCS. Some comments below:</w:t>
            </w:r>
          </w:p>
          <w:p w14:paraId="20BF8FD3" w14:textId="77777777" w:rsidR="001303AB" w:rsidRDefault="00D95AC5">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14:paraId="6FFD486C" w14:textId="77777777" w:rsidR="001303AB" w:rsidRDefault="00D95AC5">
            <w:pPr>
              <w:rPr>
                <w:rFonts w:eastAsia="宋体"/>
                <w:lang w:eastAsia="zh-CN"/>
              </w:rPr>
            </w:pPr>
            <w:r>
              <w:rPr>
                <w:rFonts w:eastAsia="宋体" w:hint="eastAsia"/>
                <w:lang w:eastAsia="zh-CN"/>
              </w:rPr>
              <w:t>O</w:t>
            </w:r>
            <w:r>
              <w:rPr>
                <w:rFonts w:eastAsia="宋体"/>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宋体"/>
                <w:lang w:eastAsia="zh-CN"/>
              </w:rPr>
            </w:pPr>
            <w:r>
              <w:rPr>
                <w:rFonts w:eastAsia="MS Mincho" w:hint="eastAsia"/>
                <w:u w:val="single"/>
                <w:lang w:eastAsia="zh-CN"/>
              </w:rPr>
              <w:t>PDCCH monitoring capability within Y slots</w:t>
            </w:r>
          </w:p>
          <w:p w14:paraId="6C72641F" w14:textId="77777777" w:rsidR="001303AB" w:rsidRDefault="00D95AC5">
            <w:pPr>
              <w:rPr>
                <w:rFonts w:eastAsia="宋体"/>
                <w:lang w:eastAsia="zh-CN"/>
              </w:rPr>
            </w:pPr>
            <w:r>
              <w:rPr>
                <w:rFonts w:eastAsia="宋体" w:hint="eastAsia"/>
                <w:lang w:eastAsia="zh-CN"/>
              </w:rPr>
              <w:t>F</w:t>
            </w:r>
            <w:r>
              <w:rPr>
                <w:rFonts w:eastAsia="宋体"/>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afc"/>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宋体"/>
                <w:lang w:eastAsia="zh-CN"/>
              </w:rPr>
            </w:pPr>
            <w:r>
              <w:rPr>
                <w:rFonts w:eastAsia="宋体"/>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afc"/>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宋体"/>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afc"/>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afc"/>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afc"/>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宋体"/>
                <w:lang w:eastAsia="zh-CN"/>
              </w:rPr>
            </w:pPr>
            <w:r>
              <w:rPr>
                <w:rFonts w:hint="eastAsia"/>
                <w:lang w:eastAsia="zh-CN"/>
              </w:rPr>
              <w:t xml:space="preserve">We want to futher clarify our understanding on this issue. Basically, </w:t>
            </w:r>
            <w:r>
              <w:rPr>
                <w:rFonts w:eastAsia="宋体"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宋体"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宋体"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宋体"/>
                <w:lang w:eastAsia="zh-CN"/>
              </w:rPr>
            </w:pPr>
            <w:r>
              <w:rPr>
                <w:rFonts w:eastAsia="宋体" w:hint="eastAsia"/>
                <w:lang w:eastAsia="zh-CN"/>
              </w:rPr>
              <w:t>Rel-15/16 have the similar problem about the Group(1) SSs and why can</w:t>
            </w:r>
            <w:r>
              <w:rPr>
                <w:rFonts w:eastAsia="宋体"/>
                <w:lang w:eastAsia="zh-CN"/>
              </w:rPr>
              <w:t>’</w:t>
            </w:r>
            <w:r>
              <w:rPr>
                <w:rFonts w:eastAsia="宋体" w:hint="eastAsia"/>
                <w:lang w:eastAsia="zh-CN"/>
              </w:rPr>
              <w:t xml:space="preserve">t we solve this problem by changing </w:t>
            </w:r>
            <w:r>
              <w:rPr>
                <w:rFonts w:eastAsia="宋体"/>
                <w:lang w:eastAsia="zh-CN"/>
              </w:rPr>
              <w:t>“</w:t>
            </w:r>
            <w:r>
              <w:rPr>
                <w:rFonts w:eastAsia="宋体" w:hint="eastAsia"/>
                <w:lang w:eastAsia="zh-CN"/>
              </w:rPr>
              <w:t>slot offsets</w:t>
            </w:r>
            <w:r>
              <w:rPr>
                <w:rFonts w:eastAsia="宋体"/>
                <w:lang w:eastAsia="zh-CN"/>
              </w:rPr>
              <w:t>”</w:t>
            </w:r>
            <w:r>
              <w:rPr>
                <w:rFonts w:eastAsia="宋体" w:hint="eastAsia"/>
                <w:lang w:eastAsia="zh-CN"/>
              </w:rPr>
              <w:t xml:space="preserve"> into </w:t>
            </w:r>
            <w:r>
              <w:rPr>
                <w:rFonts w:eastAsia="宋体"/>
                <w:lang w:eastAsia="zh-CN"/>
              </w:rPr>
              <w:t>“</w:t>
            </w:r>
            <w:r>
              <w:rPr>
                <w:rFonts w:eastAsia="宋体" w:hint="eastAsia"/>
                <w:lang w:eastAsia="zh-CN"/>
              </w:rPr>
              <w:t>slot group offsets</w:t>
            </w:r>
            <w:r>
              <w:rPr>
                <w:rFonts w:eastAsia="宋体"/>
                <w:lang w:eastAsia="zh-CN"/>
              </w:rPr>
              <w:t>”</w:t>
            </w:r>
            <w:r>
              <w:rPr>
                <w:rFonts w:eastAsia="宋体"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afc"/>
        <w:numPr>
          <w:ilvl w:val="3"/>
          <w:numId w:val="16"/>
        </w:numPr>
        <w:rPr>
          <w:lang w:val="en-GB"/>
        </w:rPr>
      </w:pPr>
      <w:r>
        <w:rPr>
          <w:lang w:val="en-GB"/>
        </w:rPr>
        <w:t>A SS is monitored within Y consecutive slots within a slot group of X slots</w:t>
      </w:r>
    </w:p>
    <w:p w14:paraId="6F24D6B8" w14:textId="77777777" w:rsidR="001303AB" w:rsidRDefault="00D95AC5">
      <w:pPr>
        <w:pStyle w:val="afc"/>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afc"/>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afc"/>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afc"/>
        <w:numPr>
          <w:ilvl w:val="2"/>
          <w:numId w:val="16"/>
        </w:numPr>
        <w:rPr>
          <w:lang w:val="en-GB"/>
        </w:rPr>
      </w:pPr>
      <w:r>
        <w:rPr>
          <w:lang w:val="en-GB"/>
        </w:rPr>
        <w:t>Supported combinations of (X,Y)</w:t>
      </w:r>
    </w:p>
    <w:p w14:paraId="1138ED36" w14:textId="77777777" w:rsidR="001303AB" w:rsidRDefault="00D95AC5">
      <w:pPr>
        <w:pStyle w:val="afc"/>
        <w:numPr>
          <w:ilvl w:val="3"/>
          <w:numId w:val="16"/>
        </w:numPr>
        <w:rPr>
          <w:lang w:val="en-GB"/>
        </w:rPr>
      </w:pPr>
      <w:r>
        <w:rPr>
          <w:lang w:val="en-GB"/>
        </w:rPr>
        <w:t>A UE capable of multi-slot monitoring mandatorily supports</w:t>
      </w:r>
    </w:p>
    <w:p w14:paraId="4FF0EC7C" w14:textId="77777777" w:rsidR="001303AB" w:rsidRDefault="00D95AC5">
      <w:pPr>
        <w:pStyle w:val="afc"/>
        <w:numPr>
          <w:ilvl w:val="4"/>
          <w:numId w:val="16"/>
        </w:numPr>
        <w:rPr>
          <w:lang w:val="en-GB"/>
        </w:rPr>
      </w:pPr>
      <w:r>
        <w:rPr>
          <w:lang w:val="en-GB"/>
        </w:rPr>
        <w:t>For SCS 480 kHz: (X,Y) = (4,1)</w:t>
      </w:r>
    </w:p>
    <w:p w14:paraId="68AD2FE7" w14:textId="77777777" w:rsidR="001303AB" w:rsidRDefault="00D95AC5">
      <w:pPr>
        <w:pStyle w:val="afc"/>
        <w:numPr>
          <w:ilvl w:val="4"/>
          <w:numId w:val="16"/>
        </w:numPr>
        <w:rPr>
          <w:lang w:val="en-GB"/>
        </w:rPr>
      </w:pPr>
      <w:r>
        <w:rPr>
          <w:lang w:val="en-GB"/>
        </w:rPr>
        <w:t>For SCS 960 kHz: (X,Y) = (8,1)</w:t>
      </w:r>
    </w:p>
    <w:p w14:paraId="5713AF79" w14:textId="77777777" w:rsidR="001303AB" w:rsidRDefault="00D95AC5">
      <w:pPr>
        <w:pStyle w:val="afc"/>
        <w:numPr>
          <w:ilvl w:val="3"/>
          <w:numId w:val="16"/>
        </w:numPr>
        <w:rPr>
          <w:lang w:val="en-GB"/>
        </w:rPr>
      </w:pPr>
      <w:r>
        <w:rPr>
          <w:lang w:val="en-GB"/>
        </w:rPr>
        <w:t>A UE capable of multi-slot monitoring optionally supports</w:t>
      </w:r>
    </w:p>
    <w:p w14:paraId="293F86C8" w14:textId="77777777" w:rsidR="001303AB" w:rsidRDefault="00D95AC5">
      <w:pPr>
        <w:pStyle w:val="afc"/>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afc"/>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afc"/>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afc"/>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afc"/>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afc"/>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afc"/>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afc"/>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afc"/>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afc"/>
        <w:numPr>
          <w:ilvl w:val="1"/>
          <w:numId w:val="16"/>
        </w:numPr>
      </w:pPr>
      <w:r>
        <w:t>A SS is monitored within Y consecutive slots within a slot group of X slots</w:t>
      </w:r>
    </w:p>
    <w:p w14:paraId="481EA60F" w14:textId="77777777" w:rsidR="001303AB" w:rsidRDefault="00D95AC5">
      <w:pPr>
        <w:pStyle w:val="afc"/>
        <w:numPr>
          <w:ilvl w:val="1"/>
          <w:numId w:val="16"/>
        </w:numPr>
      </w:pPr>
      <w:r>
        <w:t>The Y consecutive slots can be located anywhere within the slot group of X slots</w:t>
      </w:r>
    </w:p>
    <w:p w14:paraId="5AD55D06" w14:textId="77777777" w:rsidR="001303AB" w:rsidRDefault="00D95AC5">
      <w:pPr>
        <w:pStyle w:val="afc"/>
        <w:numPr>
          <w:ilvl w:val="1"/>
          <w:numId w:val="16"/>
        </w:numPr>
      </w:pPr>
      <w:r>
        <w:t>The location of the Y consecutive slots within the slot group of X slots is maintained across different slot groups</w:t>
      </w:r>
    </w:p>
    <w:p w14:paraId="465E8546" w14:textId="77777777" w:rsidR="001303AB" w:rsidRDefault="00D95AC5">
      <w:pPr>
        <w:pStyle w:val="afc"/>
        <w:numPr>
          <w:ilvl w:val="1"/>
          <w:numId w:val="16"/>
        </w:numPr>
      </w:pPr>
      <w:r>
        <w:t>BD attempts for all Group (1) SSs are restricted to fall within the same Y consecutive slots</w:t>
      </w:r>
    </w:p>
    <w:p w14:paraId="332B9CF5" w14:textId="77777777" w:rsidR="001303AB" w:rsidRDefault="00D95AC5">
      <w:pPr>
        <w:pStyle w:val="afc"/>
        <w:numPr>
          <w:ilvl w:val="1"/>
          <w:numId w:val="16"/>
        </w:numPr>
        <w:rPr>
          <w:highlight w:val="darkGray"/>
        </w:rPr>
      </w:pPr>
      <w:r>
        <w:rPr>
          <w:highlight w:val="darkGray"/>
        </w:rPr>
        <w:t>FFS: whether or not Y slots are aligned with n0</w:t>
      </w:r>
    </w:p>
    <w:p w14:paraId="2B312445"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afc"/>
        <w:numPr>
          <w:ilvl w:val="1"/>
          <w:numId w:val="16"/>
        </w:numPr>
      </w:pPr>
      <w:r>
        <w:t>SS monitoring locations can be anywhere within a slot group of X slots, with the following exception</w:t>
      </w:r>
    </w:p>
    <w:p w14:paraId="6C591E5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afc"/>
        <w:numPr>
          <w:ilvl w:val="0"/>
          <w:numId w:val="16"/>
        </w:numPr>
      </w:pPr>
      <w:r>
        <w:t>Supported combinations of (X,Y)</w:t>
      </w:r>
    </w:p>
    <w:p w14:paraId="7BEDF202" w14:textId="77777777" w:rsidR="001303AB" w:rsidRDefault="00D95AC5">
      <w:pPr>
        <w:pStyle w:val="afc"/>
        <w:numPr>
          <w:ilvl w:val="1"/>
          <w:numId w:val="16"/>
        </w:numPr>
      </w:pPr>
      <w:r>
        <w:t>A UE capable of multi-slot monitoring mandatorily supports</w:t>
      </w:r>
    </w:p>
    <w:p w14:paraId="726A2FA8" w14:textId="77777777" w:rsidR="001303AB" w:rsidRDefault="00D95AC5">
      <w:pPr>
        <w:pStyle w:val="afc"/>
        <w:numPr>
          <w:ilvl w:val="2"/>
          <w:numId w:val="16"/>
        </w:numPr>
      </w:pPr>
      <w:r>
        <w:t>For SCS 480 kHz: (X,Y) = (4,1)</w:t>
      </w:r>
    </w:p>
    <w:p w14:paraId="6EB346D3" w14:textId="77777777" w:rsidR="001303AB" w:rsidRDefault="00D95AC5">
      <w:pPr>
        <w:pStyle w:val="afc"/>
        <w:numPr>
          <w:ilvl w:val="2"/>
          <w:numId w:val="16"/>
        </w:numPr>
      </w:pPr>
      <w:r>
        <w:t>For SCS 960 kHz: (X,Y) = (8,1)</w:t>
      </w:r>
    </w:p>
    <w:p w14:paraId="6EB10429" w14:textId="77777777" w:rsidR="001303AB" w:rsidRDefault="00D95AC5">
      <w:pPr>
        <w:pStyle w:val="afc"/>
        <w:numPr>
          <w:ilvl w:val="1"/>
          <w:numId w:val="16"/>
        </w:numPr>
      </w:pPr>
      <w:r>
        <w:t>A UE capable of multi-slot monitoring optionally supports</w:t>
      </w:r>
    </w:p>
    <w:p w14:paraId="17F98E4F" w14:textId="77777777" w:rsidR="001303AB" w:rsidRDefault="00D95AC5">
      <w:pPr>
        <w:pStyle w:val="afc"/>
        <w:numPr>
          <w:ilvl w:val="2"/>
          <w:numId w:val="16"/>
        </w:numPr>
      </w:pPr>
      <w:r>
        <w:t>For SCS 480 kHz: (X,Y) = (4,2), FFS (2,1)</w:t>
      </w:r>
    </w:p>
    <w:p w14:paraId="5BD53873" w14:textId="77777777" w:rsidR="001303AB" w:rsidRDefault="00D95AC5">
      <w:pPr>
        <w:pStyle w:val="afc"/>
        <w:numPr>
          <w:ilvl w:val="2"/>
          <w:numId w:val="16"/>
        </w:numPr>
      </w:pPr>
      <w:r>
        <w:t>For SCS 960 kHz: (X,Y) = (8,4), FFS (4,2), FFS (4,1)</w:t>
      </w:r>
    </w:p>
    <w:p w14:paraId="1DE3861F" w14:textId="77777777" w:rsidR="001303AB" w:rsidRDefault="00D95AC5">
      <w:pPr>
        <w:pStyle w:val="afc"/>
        <w:numPr>
          <w:ilvl w:val="1"/>
          <w:numId w:val="16"/>
        </w:numPr>
      </w:pPr>
      <w:r>
        <w:t>Note: If necessary the completion of the multi-slot monitoring design for X=4/8 with 480 kHz/960kHz SCS is prioritised</w:t>
      </w:r>
    </w:p>
    <w:p w14:paraId="3C9D0DC8" w14:textId="77777777" w:rsidR="001303AB" w:rsidRDefault="00D95AC5">
      <w:pPr>
        <w:pStyle w:val="afc"/>
        <w:numPr>
          <w:ilvl w:val="0"/>
          <w:numId w:val="16"/>
        </w:numPr>
      </w:pPr>
      <w:r>
        <w:t>A UE capable of multi-slot monitoring mandatorily supports the following PDCCH monitoring within Y slots</w:t>
      </w:r>
    </w:p>
    <w:p w14:paraId="7026862C" w14:textId="77777777" w:rsidR="001303AB" w:rsidRDefault="00D95AC5">
      <w:pPr>
        <w:pStyle w:val="afc"/>
        <w:numPr>
          <w:ilvl w:val="1"/>
          <w:numId w:val="16"/>
        </w:numPr>
      </w:pPr>
      <w:r>
        <w:t>For Y&gt;1: FG3-1 (monitoring Group (1) SSs in the first 3 OFDM symbols of each of the Y slots)</w:t>
      </w:r>
    </w:p>
    <w:p w14:paraId="10F641FE"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afc"/>
        <w:numPr>
          <w:ilvl w:val="2"/>
          <w:numId w:val="16"/>
        </w:numPr>
        <w:rPr>
          <w:highlight w:val="darkGray"/>
        </w:rPr>
      </w:pPr>
      <w:r>
        <w:rPr>
          <w:highlight w:val="darkGray"/>
        </w:rPr>
        <w:lastRenderedPageBreak/>
        <w:t>FFS: value(s) of M</w:t>
      </w:r>
    </w:p>
    <w:p w14:paraId="276ECE8F" w14:textId="77777777" w:rsidR="001303AB" w:rsidRDefault="00D95AC5">
      <w:pPr>
        <w:pStyle w:val="afc"/>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afc"/>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afc"/>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afc"/>
              <w:numPr>
                <w:ilvl w:val="2"/>
                <w:numId w:val="16"/>
              </w:numPr>
              <w:rPr>
                <w:highlight w:val="darkGray"/>
              </w:rPr>
            </w:pPr>
            <w:r>
              <w:rPr>
                <w:highlight w:val="darkGray"/>
              </w:rPr>
              <w:t>FFS: value(s) of M</w:t>
            </w:r>
          </w:p>
          <w:p w14:paraId="0B35232E" w14:textId="77777777" w:rsidR="001303AB" w:rsidRDefault="00D95AC5">
            <w:pPr>
              <w:pStyle w:val="afc"/>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afc"/>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afc"/>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afc"/>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afc"/>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afc"/>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afc"/>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afc"/>
              <w:numPr>
                <w:ilvl w:val="1"/>
                <w:numId w:val="16"/>
              </w:numPr>
            </w:pPr>
            <w:r>
              <w:t>For Y&gt;1: FG3-1 (monitoring Group (1) SSs in the first 3 OFDM symbols of each of the Y slots)</w:t>
            </w:r>
          </w:p>
          <w:p w14:paraId="3E25D11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afc"/>
              <w:numPr>
                <w:ilvl w:val="2"/>
                <w:numId w:val="16"/>
              </w:numPr>
              <w:rPr>
                <w:highlight w:val="darkGray"/>
              </w:rPr>
            </w:pPr>
            <w:r>
              <w:rPr>
                <w:highlight w:val="darkGray"/>
              </w:rPr>
              <w:t>FFS: value(s) of M</w:t>
            </w:r>
          </w:p>
          <w:p w14:paraId="1FC80576" w14:textId="77777777" w:rsidR="001303AB" w:rsidRDefault="00D95AC5">
            <w:pPr>
              <w:pStyle w:val="afc"/>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afc"/>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afc"/>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afc"/>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afc"/>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afc"/>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afc"/>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afc"/>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afc"/>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afc"/>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afc"/>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afc"/>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afc"/>
              <w:numPr>
                <w:ilvl w:val="2"/>
                <w:numId w:val="16"/>
              </w:numPr>
              <w:rPr>
                <w:highlight w:val="darkGray"/>
              </w:rPr>
            </w:pPr>
            <w:r>
              <w:rPr>
                <w:highlight w:val="darkGray"/>
              </w:rPr>
              <w:t>FFS: value(s) of M</w:t>
            </w:r>
          </w:p>
          <w:p w14:paraId="1D6633E7" w14:textId="77777777" w:rsidR="001303AB" w:rsidRDefault="00D95AC5">
            <w:pPr>
              <w:pStyle w:val="afc"/>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宋体"/>
                <w:lang w:eastAsia="zh-CN"/>
              </w:rPr>
            </w:pPr>
            <w:r>
              <w:rPr>
                <w:rFonts w:eastAsia="宋体"/>
                <w:lang w:eastAsia="zh-CN"/>
              </w:rPr>
              <w:t xml:space="preserve">We prefer to </w:t>
            </w:r>
            <w:r>
              <w:rPr>
                <w:rFonts w:eastAsia="宋体" w:hint="eastAsia"/>
                <w:lang w:eastAsia="zh-CN"/>
              </w:rPr>
              <w:t>de-prioritize smaller values of X for the sake of progress</w:t>
            </w:r>
            <w:r>
              <w:rPr>
                <w:rFonts w:eastAsia="宋体"/>
                <w:lang w:eastAsia="zh-CN"/>
              </w:rPr>
              <w:t xml:space="preserve"> and </w:t>
            </w:r>
            <w:r>
              <w:rPr>
                <w:rFonts w:eastAsia="MS Mincho"/>
                <w:lang w:eastAsia="ja-JP"/>
              </w:rPr>
              <w:t>investigate</w:t>
            </w:r>
            <w:r>
              <w:rPr>
                <w:rFonts w:eastAsia="宋体"/>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宋体" w:hint="eastAsia"/>
                <w:lang w:eastAsia="zh-CN"/>
              </w:rPr>
              <w:t xml:space="preserve">later after multi-slot PDCCH monitoring capability has been defined for X=4(for </w:t>
            </w:r>
            <w:r>
              <w:rPr>
                <w:rFonts w:eastAsia="MS Mincho"/>
                <w:lang w:eastAsia="ja-JP"/>
              </w:rPr>
              <w:t>480 kHz</w:t>
            </w:r>
            <w:r>
              <w:rPr>
                <w:rFonts w:eastAsia="宋体" w:hint="eastAsia"/>
                <w:lang w:eastAsia="zh-CN"/>
              </w:rPr>
              <w:t xml:space="preserve">) and X=8(for </w:t>
            </w:r>
            <w:r>
              <w:rPr>
                <w:rFonts w:eastAsia="MS Mincho"/>
                <w:lang w:eastAsia="ja-JP"/>
              </w:rPr>
              <w:t>960 kHz</w:t>
            </w:r>
            <w:r>
              <w:rPr>
                <w:rFonts w:eastAsia="宋体"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afc"/>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afc"/>
              <w:numPr>
                <w:ilvl w:val="2"/>
                <w:numId w:val="16"/>
              </w:numPr>
              <w:rPr>
                <w:highlight w:val="darkGray"/>
              </w:rPr>
            </w:pPr>
            <w:r>
              <w:rPr>
                <w:highlight w:val="darkGray"/>
              </w:rPr>
              <w:t>FFS: value(s) of M</w:t>
            </w:r>
          </w:p>
          <w:p w14:paraId="515F08C5" w14:textId="77777777" w:rsidR="001303AB" w:rsidRDefault="00D95AC5">
            <w:pPr>
              <w:pStyle w:val="afc"/>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宋体"/>
                <w:lang w:eastAsia="zh-CN"/>
              </w:rPr>
            </w:pPr>
            <w:r>
              <w:rPr>
                <w:rFonts w:hint="eastAsia"/>
                <w:lang w:eastAsia="zh-CN"/>
              </w:rPr>
              <w:t>Basically,</w:t>
            </w:r>
            <w:r>
              <w:rPr>
                <w:rFonts w:eastAsia="宋体"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宋体"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宋体" w:hint="eastAsia"/>
                <w:lang w:eastAsia="zh-CN"/>
              </w:rPr>
              <w:t xml:space="preserve">. However, </w:t>
            </w:r>
            <w:r>
              <w:rPr>
                <w:rFonts w:eastAsia="宋体"/>
                <w:lang w:eastAsia="zh-CN"/>
              </w:rPr>
              <w:t xml:space="preserve">In Rel-15/16, </w:t>
            </w:r>
            <w:r>
              <w:rPr>
                <w:rFonts w:eastAsia="宋体" w:hint="eastAsia"/>
                <w:lang w:eastAsia="zh-CN"/>
              </w:rPr>
              <w:t>Type 1 CSS with dedicated RRC configuration</w:t>
            </w:r>
            <w:r>
              <w:rPr>
                <w:rFonts w:eastAsia="宋体"/>
                <w:lang w:eastAsia="zh-CN"/>
              </w:rPr>
              <w:t xml:space="preserve"> and Type 3 CSS are also included in Group (1), and yet still </w:t>
            </w:r>
            <w:r>
              <w:rPr>
                <w:rFonts w:eastAsia="宋体" w:hint="eastAsia"/>
                <w:lang w:eastAsia="zh-CN"/>
              </w:rPr>
              <w:t>FG 3-1</w:t>
            </w:r>
            <w:r>
              <w:rPr>
                <w:rFonts w:eastAsia="宋体"/>
                <w:lang w:eastAsia="zh-CN"/>
              </w:rPr>
              <w:t xml:space="preserve"> is the</w:t>
            </w:r>
            <w:r>
              <w:rPr>
                <w:rFonts w:eastAsia="宋体" w:hint="eastAsia"/>
                <w:lang w:eastAsia="zh-CN"/>
              </w:rPr>
              <w:t xml:space="preserve"> mandatory UE capability</w:t>
            </w:r>
            <w:r>
              <w:rPr>
                <w:rFonts w:eastAsia="宋体"/>
                <w:lang w:eastAsia="zh-CN"/>
              </w:rPr>
              <w:t>. To alleviate PDCCH blocking problem</w:t>
            </w:r>
            <w:r>
              <w:rPr>
                <w:rFonts w:eastAsia="宋体" w:hint="eastAsia"/>
                <w:lang w:eastAsia="zh-CN"/>
              </w:rPr>
              <w:t xml:space="preserve"> in Rel-15/16</w:t>
            </w:r>
            <w:r>
              <w:rPr>
                <w:rFonts w:eastAsia="宋体"/>
                <w:lang w:eastAsia="zh-CN"/>
              </w:rPr>
              <w:t xml:space="preserve">, different </w:t>
            </w:r>
            <w:r>
              <w:rPr>
                <w:rFonts w:eastAsia="宋体"/>
                <w:color w:val="FF0000"/>
                <w:lang w:eastAsia="zh-CN"/>
              </w:rPr>
              <w:t xml:space="preserve">slot offsets </w:t>
            </w:r>
            <w:r>
              <w:rPr>
                <w:rFonts w:eastAsia="宋体"/>
                <w:lang w:eastAsia="zh-CN"/>
              </w:rPr>
              <w:t>are configured for different UEs. W</w:t>
            </w:r>
            <w:r>
              <w:rPr>
                <w:rFonts w:eastAsia="宋体" w:hint="eastAsia"/>
                <w:lang w:eastAsia="zh-CN"/>
              </w:rPr>
              <w:t>e</w:t>
            </w:r>
            <w:r>
              <w:rPr>
                <w:rFonts w:eastAsia="宋体"/>
                <w:lang w:eastAsia="zh-CN"/>
              </w:rPr>
              <w:t xml:space="preserve"> can</w:t>
            </w:r>
            <w:r>
              <w:rPr>
                <w:rFonts w:eastAsia="宋体" w:hint="eastAsia"/>
                <w:lang w:eastAsia="zh-CN"/>
              </w:rPr>
              <w:t xml:space="preserve"> solve this problem</w:t>
            </w:r>
            <w:r>
              <w:rPr>
                <w:rFonts w:eastAsia="宋体"/>
                <w:lang w:eastAsia="zh-CN"/>
              </w:rPr>
              <w:t xml:space="preserve"> for multi-slot PDCCH monitoring</w:t>
            </w:r>
            <w:r>
              <w:rPr>
                <w:rFonts w:eastAsia="宋体" w:hint="eastAsia"/>
                <w:lang w:eastAsia="zh-CN"/>
              </w:rPr>
              <w:t xml:space="preserve"> by </w:t>
            </w:r>
            <w:r>
              <w:rPr>
                <w:rFonts w:eastAsia="宋体"/>
                <w:lang w:eastAsia="zh-CN"/>
              </w:rPr>
              <w:t xml:space="preserve">applying different </w:t>
            </w:r>
            <w:r>
              <w:rPr>
                <w:rFonts w:eastAsia="宋体" w:hint="eastAsia"/>
                <w:color w:val="FF0000"/>
                <w:lang w:eastAsia="zh-CN"/>
              </w:rPr>
              <w:t>slot group offsets</w:t>
            </w:r>
            <w:r>
              <w:rPr>
                <w:rFonts w:eastAsia="宋体"/>
                <w:lang w:eastAsia="zh-CN"/>
              </w:rPr>
              <w:t xml:space="preserve"> for different UEs. Our suggestion is as follows:</w:t>
            </w:r>
          </w:p>
          <w:p w14:paraId="6ADE705A" w14:textId="77777777" w:rsidR="001303AB" w:rsidRDefault="00D95AC5">
            <w:pPr>
              <w:pStyle w:val="afc"/>
              <w:numPr>
                <w:ilvl w:val="0"/>
                <w:numId w:val="16"/>
              </w:numPr>
            </w:pPr>
            <w:r>
              <w:t>A UE capable of multi-slot monitoring mandatorily supports the following PDCCH monitoring within Y slots</w:t>
            </w:r>
          </w:p>
          <w:p w14:paraId="728917D7" w14:textId="77777777" w:rsidR="001303AB" w:rsidRDefault="00D95AC5">
            <w:pPr>
              <w:pStyle w:val="afc"/>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afc"/>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rFonts w:hint="eastAsia"/>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afc"/>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afc"/>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afc"/>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afc"/>
              <w:numPr>
                <w:ilvl w:val="0"/>
                <w:numId w:val="106"/>
              </w:numPr>
              <w:rPr>
                <w:rFonts w:hint="eastAsia"/>
              </w:r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bl>
    <w:p w14:paraId="0AA59CA0" w14:textId="77777777" w:rsidR="001303AB" w:rsidRDefault="001303AB"/>
    <w:p w14:paraId="0E765DBA" w14:textId="77777777" w:rsidR="001303AB" w:rsidRDefault="00D95AC5">
      <w:pPr>
        <w:pStyle w:val="3"/>
        <w:rPr>
          <w:lang w:val="en-GB" w:eastAsia="zh-CN"/>
        </w:rPr>
      </w:pPr>
      <w:r>
        <w:rPr>
          <w:lang w:val="en-GB" w:eastAsia="zh-CN"/>
        </w:rPr>
        <w:t>Issue A1-2: Definition/applicability of monitoring capability</w:t>
      </w:r>
    </w:p>
    <w:p w14:paraId="6DF65380" w14:textId="77777777" w:rsidR="001303AB" w:rsidRDefault="00D95AC5">
      <w:pPr>
        <w:pStyle w:val="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lastRenderedPageBreak/>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a7"/>
              <w:jc w:val="both"/>
              <w:rPr>
                <w:b w:val="0"/>
              </w:rPr>
            </w:pPr>
            <w:r>
              <w:lastRenderedPageBreak/>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a7"/>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a7"/>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a7"/>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lastRenderedPageBreak/>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宋体"/>
                <w:lang w:eastAsia="ja-JP"/>
              </w:rPr>
            </w:pPr>
            <w:r>
              <w:rPr>
                <w:rFonts w:eastAsia="宋体" w:hint="eastAsia"/>
                <w:lang w:eastAsia="zh-CN"/>
              </w:rPr>
              <w:t>Thanks for vivo</w:t>
            </w:r>
            <w:r>
              <w:rPr>
                <w:rFonts w:eastAsia="宋体"/>
                <w:lang w:eastAsia="zh-CN"/>
              </w:rPr>
              <w:t>’</w:t>
            </w:r>
            <w:r>
              <w:rPr>
                <w:rFonts w:eastAsia="宋体" w:hint="eastAsia"/>
                <w:lang w:eastAsia="zh-CN"/>
              </w:rPr>
              <w:t>s clarification and we also think it</w:t>
            </w:r>
            <w:r>
              <w:rPr>
                <w:rFonts w:eastAsia="宋体"/>
                <w:lang w:eastAsia="zh-CN"/>
              </w:rPr>
              <w:t>’</w:t>
            </w:r>
            <w:r>
              <w:rPr>
                <w:rFonts w:eastAsia="宋体" w:hint="eastAsia"/>
                <w:lang w:eastAsia="zh-CN"/>
              </w:rPr>
              <w:t xml:space="preserve">s better to wait until </w:t>
            </w:r>
            <w:r>
              <w:rPr>
                <w:lang w:eastAsia="zh-CN"/>
              </w:rPr>
              <w:t>issue A1-3</w:t>
            </w:r>
            <w:r>
              <w:rPr>
                <w:rFonts w:eastAsia="宋体"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宋体"/>
                <w:lang w:eastAsia="zh-CN"/>
              </w:rPr>
            </w:pPr>
            <w:r>
              <w:rPr>
                <w:rFonts w:eastAsia="宋体" w:hint="eastAsia"/>
                <w:lang w:eastAsia="zh-CN"/>
              </w:rPr>
              <w:t>W</w:t>
            </w:r>
            <w:r>
              <w:rPr>
                <w:rFonts w:eastAsia="宋体"/>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宋体"/>
                <w:lang w:eastAsia="zh-CN"/>
              </w:rPr>
            </w:pPr>
            <w:r>
              <w:rPr>
                <w:rFonts w:eastAsia="宋体"/>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宋体"/>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bl>
    <w:p w14:paraId="18D8E381" w14:textId="77777777" w:rsidR="001303AB" w:rsidRDefault="001303AB">
      <w:pPr>
        <w:rPr>
          <w:lang w:eastAsia="zh-CN"/>
        </w:rPr>
      </w:pPr>
    </w:p>
    <w:p w14:paraId="539C7D51" w14:textId="77777777" w:rsidR="001303AB" w:rsidRDefault="00D95AC5">
      <w:pPr>
        <w:pStyle w:val="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3"/>
        <w:rPr>
          <w:lang w:val="en-GB" w:eastAsia="zh-CN"/>
        </w:rPr>
      </w:pPr>
      <w:r>
        <w:rPr>
          <w:lang w:val="en-GB" w:eastAsia="zh-CN"/>
        </w:rPr>
        <w:t>Issue A1-3: Support of single-slot / multi-slot PDCCH monitoring</w:t>
      </w:r>
    </w:p>
    <w:p w14:paraId="65BD8EC3" w14:textId="77777777" w:rsidR="001303AB" w:rsidRDefault="00D95AC5">
      <w:pPr>
        <w:pStyle w:val="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a7"/>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lastRenderedPageBreak/>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35A839A6" w14:textId="77777777" w:rsidR="001303AB" w:rsidRDefault="00D95AC5">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宋体"/>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宋体"/>
                <w:lang w:eastAsia="zh-CN"/>
              </w:rPr>
            </w:pPr>
            <w:r>
              <w:rPr>
                <w:rFonts w:eastAsia="宋体"/>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宋体"/>
                <w:lang w:eastAsia="zh-CN"/>
              </w:rPr>
            </w:pPr>
            <w:r>
              <w:rPr>
                <w:rFonts w:eastAsia="宋体"/>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宋体"/>
                <w:lang w:eastAsia="zh-CN"/>
              </w:rPr>
            </w:pPr>
            <w:r>
              <w:rPr>
                <w:rFonts w:eastAsia="宋体"/>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bl>
    <w:p w14:paraId="746E7C36" w14:textId="77777777" w:rsidR="001303AB" w:rsidRDefault="00D95AC5">
      <w:pPr>
        <w:pStyle w:val="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lastRenderedPageBreak/>
        <w:t>Proposed Agreement (or Working Assumption):</w:t>
      </w:r>
    </w:p>
    <w:p w14:paraId="1658D643" w14:textId="77777777" w:rsidR="001303AB" w:rsidRDefault="00D95AC5">
      <w:pPr>
        <w:pStyle w:val="afc"/>
        <w:numPr>
          <w:ilvl w:val="0"/>
          <w:numId w:val="44"/>
        </w:numPr>
      </w:pPr>
      <w:r>
        <w:rPr>
          <w:lang w:val="en-GB" w:eastAsia="zh-CN"/>
        </w:rPr>
        <w:t>Single-slot PDCCH monitoring is not supported for SCS 480/960 kHz.</w:t>
      </w:r>
    </w:p>
    <w:p w14:paraId="69208927" w14:textId="77777777" w:rsidR="001303AB" w:rsidRDefault="00D95AC5">
      <w:pPr>
        <w:pStyle w:val="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afc"/>
        <w:numPr>
          <w:ilvl w:val="0"/>
          <w:numId w:val="44"/>
        </w:numPr>
      </w:pPr>
      <w:r>
        <w:rPr>
          <w:lang w:val="en-GB" w:eastAsia="zh-CN"/>
        </w:rPr>
        <w:t>Single-slot PDCCH monitoring is not supported for SCS 480/960 kHz.</w:t>
      </w:r>
    </w:p>
    <w:p w14:paraId="1C203B29"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宋体" w:hint="eastAsia"/>
                <w:lang w:eastAsia="zh-CN"/>
              </w:rPr>
              <w:t xml:space="preserve">. </w:t>
            </w:r>
            <w:r>
              <w:rPr>
                <w:rFonts w:hint="eastAsia"/>
                <w:lang w:eastAsia="zh-CN"/>
              </w:rPr>
              <w:t xml:space="preserve">As we said before, </w:t>
            </w:r>
            <w:r>
              <w:rPr>
                <w:rFonts w:eastAsia="宋体"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2"/>
      </w:pPr>
      <w:r>
        <w:t>Topic A2: Search Space Configuration/Enhancement</w:t>
      </w:r>
    </w:p>
    <w:p w14:paraId="363B4E69" w14:textId="77777777" w:rsidR="001303AB" w:rsidRDefault="00D95AC5">
      <w:pPr>
        <w:pStyle w:val="3"/>
        <w:rPr>
          <w:lang w:val="en-GB" w:eastAsia="zh-CN"/>
        </w:rPr>
      </w:pPr>
      <w:r>
        <w:rPr>
          <w:lang w:val="en-GB" w:eastAsia="zh-CN"/>
        </w:rPr>
        <w:t>Issue A2-1: Periodicity, offset, duration configuration for multi-slot monitoring</w:t>
      </w:r>
    </w:p>
    <w:p w14:paraId="1C3BD0DD" w14:textId="77777777" w:rsidR="001303AB" w:rsidRDefault="00D95AC5">
      <w:pPr>
        <w:pStyle w:val="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afc"/>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afc"/>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 xml:space="preserve">monitoringSlotPeriodicityAndOffset-r17, duration-r17, etc.) or introducing some restriction to the configurable values of existing parameters (e.g., UE only expects that the SS set periodicity is an integer multiple of </w:t>
            </w:r>
            <w:r>
              <w:rPr>
                <w:lang w:eastAsia="zh-CN"/>
              </w:rPr>
              <w:lastRenderedPageBreak/>
              <w:t>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lastRenderedPageBreak/>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lastRenderedPageBreak/>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9pt;height:156pt" o:ole="">
            <v:imagedata r:id="rId16" o:title=""/>
          </v:shape>
          <o:OLEObject Type="Embed" ProgID="Visio.Drawing.11" ShapeID="_x0000_i1025" DrawAspect="Content" ObjectID="_1698767477" r:id="rId17"/>
        </w:object>
      </w:r>
    </w:p>
    <w:tbl>
      <w:tblPr>
        <w:tblStyle w:val="af5"/>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lastRenderedPageBreak/>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bl>
    <w:p w14:paraId="2EC8FCAC" w14:textId="77777777" w:rsidR="001303AB" w:rsidRDefault="00D95AC5">
      <w:pPr>
        <w:pStyle w:val="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3"/>
        <w:rPr>
          <w:lang w:val="en-GB" w:eastAsia="zh-CN"/>
        </w:rPr>
      </w:pPr>
      <w:r>
        <w:rPr>
          <w:lang w:val="en-GB" w:eastAsia="zh-CN"/>
        </w:rPr>
        <w:t>Issue A2-2: CORESET duration</w:t>
      </w:r>
    </w:p>
    <w:p w14:paraId="181AA955" w14:textId="77777777" w:rsidR="001303AB" w:rsidRDefault="00D95AC5">
      <w:pPr>
        <w:pStyle w:val="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lastRenderedPageBreak/>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bl>
    <w:p w14:paraId="0BEEB27C" w14:textId="77777777" w:rsidR="001303AB" w:rsidRDefault="00D95AC5">
      <w:pPr>
        <w:pStyle w:val="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3"/>
        <w:rPr>
          <w:lang w:val="en-GB" w:eastAsia="zh-CN"/>
        </w:rPr>
      </w:pPr>
      <w:r>
        <w:rPr>
          <w:lang w:val="en-GB" w:eastAsia="zh-CN"/>
        </w:rPr>
        <w:t>Issue A2-3: SS set group switching</w:t>
      </w:r>
    </w:p>
    <w:p w14:paraId="648CE0F4" w14:textId="77777777" w:rsidR="001303AB" w:rsidRDefault="00D95AC5">
      <w:pPr>
        <w:pStyle w:val="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lastRenderedPageBreak/>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af5"/>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lastRenderedPageBreak/>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lastRenderedPageBreak/>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宋体"/>
                <w:lang w:eastAsia="zh-CN"/>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宋体"/>
                <w:lang w:eastAsia="zh-CN"/>
              </w:rPr>
            </w:pPr>
            <w:r>
              <w:rPr>
                <w:rFonts w:eastAsia="宋体"/>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宋体"/>
                <w:lang w:eastAsia="zh-CN"/>
              </w:rPr>
            </w:pPr>
            <w:r>
              <w:rPr>
                <w:rFonts w:eastAsia="宋体" w:hint="eastAsia"/>
                <w:lang w:eastAsia="zh-CN"/>
              </w:rPr>
              <w:t xml:space="preserve">We </w:t>
            </w:r>
            <w:r>
              <w:rPr>
                <w:rFonts w:eastAsia="宋体"/>
                <w:lang w:eastAsia="zh-CN"/>
              </w:rPr>
              <w:t>support</w:t>
            </w:r>
            <w:r>
              <w:rPr>
                <w:rFonts w:eastAsia="宋体"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宋体"/>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bl>
    <w:p w14:paraId="6BBC2EB3" w14:textId="77777777" w:rsidR="001303AB" w:rsidRDefault="001303AB"/>
    <w:p w14:paraId="2D586E1B" w14:textId="77777777" w:rsidR="001303AB" w:rsidRDefault="00D95AC5">
      <w:pPr>
        <w:pStyle w:val="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lastRenderedPageBreak/>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4"/>
        <w:rPr>
          <w:sz w:val="22"/>
          <w:szCs w:val="22"/>
        </w:rPr>
      </w:pPr>
      <w:r>
        <w:rPr>
          <w:sz w:val="22"/>
          <w:szCs w:val="22"/>
        </w:rPr>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afc"/>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afc"/>
        <w:numPr>
          <w:ilvl w:val="0"/>
          <w:numId w:val="46"/>
        </w:numPr>
      </w:pPr>
      <w:r>
        <w:t>Alt 2: Support ony search space set group switching processing capability 1 with the following values</w:t>
      </w:r>
    </w:p>
    <w:p w14:paraId="5D2116C3" w14:textId="77777777" w:rsidR="001303AB" w:rsidRDefault="00D95AC5">
      <w:pPr>
        <w:pStyle w:val="afc"/>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afc"/>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af5"/>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宋体"/>
                <w:lang w:eastAsia="zh-CN"/>
              </w:rPr>
            </w:pPr>
            <w:r>
              <w:rPr>
                <w:rFonts w:eastAsia="宋体" w:hint="eastAsia"/>
                <w:lang w:eastAsia="zh-CN"/>
              </w:rPr>
              <w:t xml:space="preserve">We prefer </w:t>
            </w:r>
            <w:r>
              <w:rPr>
                <w:rFonts w:eastAsia="MS Mincho"/>
                <w:lang w:eastAsia="ja-JP"/>
              </w:rPr>
              <w:t>Alt 2b</w:t>
            </w:r>
            <w:r>
              <w:rPr>
                <w:rFonts w:eastAsia="宋体"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zh-CN"/>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73235B"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hint="eastAsia"/>
                <w:szCs w:val="18"/>
                <w:lang w:eastAsia="zh-CN"/>
              </w:rPr>
              <w:t>=</w:t>
            </w:r>
            <w:r>
              <w:rPr>
                <w:szCs w:val="18"/>
                <w:lang w:eastAsia="zh-CN"/>
              </w:rPr>
              <w:t>25 for 120kHz is inherit from the SPS releasing timeline. This time</w:t>
            </w:r>
            <w:r w:rsidR="00B2421A">
              <w:rPr>
                <w:szCs w:val="18"/>
                <w:lang w:eastAsia="zh-CN"/>
              </w:rPr>
              <w:t>line</w:t>
            </w:r>
            <w:r>
              <w:rPr>
                <w:szCs w:val="18"/>
                <w:lang w:eastAsia="zh-CN"/>
              </w:rPr>
              <w:t xml:space="preserve"> is </w:t>
            </w:r>
            <w:r w:rsidR="00B2421A">
              <w:rPr>
                <w:szCs w:val="18"/>
                <w:lang w:eastAsia="zh-CN"/>
              </w:rPr>
              <w:t xml:space="preserve">independent of </w:t>
            </w:r>
            <w:r>
              <w:rPr>
                <w:szCs w:val="18"/>
                <w:lang w:eastAsia="zh-CN"/>
              </w:rPr>
              <w:t>UE processing capability 1 or 2</w:t>
            </w:r>
            <w:r w:rsidR="00B2421A">
              <w:rPr>
                <w:szCs w:val="18"/>
                <w:lang w:eastAsia="zh-CN"/>
              </w:rPr>
              <w:t xml:space="preserve"> in Rel-15/16</w:t>
            </w:r>
            <w:bookmarkStart w:id="11" w:name="_GoBack"/>
            <w:bookmarkEnd w:id="11"/>
            <w:r>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Pr>
                <w:lang w:eastAsia="zh-CN"/>
              </w:rPr>
              <w:t xml:space="preserve">. We can also </w:t>
            </w:r>
            <w:r w:rsidR="002A73BE">
              <w:rPr>
                <w:lang w:eastAsia="zh-CN"/>
              </w:rPr>
              <w:t>accept Alt 1</w:t>
            </w:r>
            <w:r>
              <w:rPr>
                <w:lang w:eastAsia="zh-CN"/>
              </w:rPr>
              <w:t xml:space="preserve"> if majorities support it</w:t>
            </w:r>
            <w:r w:rsidR="002A73BE">
              <w:rPr>
                <w:lang w:eastAsia="zh-CN"/>
              </w:rPr>
              <w:t>.</w:t>
            </w:r>
          </w:p>
        </w:tc>
      </w:tr>
    </w:tbl>
    <w:p w14:paraId="56D24100" w14:textId="77777777" w:rsidR="001303AB" w:rsidRDefault="001303AB"/>
    <w:p w14:paraId="5B148047" w14:textId="77777777" w:rsidR="001303AB" w:rsidRDefault="001303AB"/>
    <w:p w14:paraId="3C8A177C" w14:textId="77777777" w:rsidR="001303AB" w:rsidRDefault="00D95AC5">
      <w:pPr>
        <w:pStyle w:val="2"/>
      </w:pPr>
      <w:r>
        <w:t>Topic A3: BD Budget/Dropping</w:t>
      </w:r>
    </w:p>
    <w:p w14:paraId="18B3B4E9" w14:textId="77777777" w:rsidR="001303AB" w:rsidRDefault="00D95AC5">
      <w:pPr>
        <w:pStyle w:val="3"/>
        <w:rPr>
          <w:lang w:val="en-GB" w:eastAsia="zh-CN"/>
        </w:rPr>
      </w:pPr>
      <w:r>
        <w:rPr>
          <w:lang w:val="en-GB" w:eastAsia="zh-CN"/>
        </w:rPr>
        <w:t>Issue A3-1: Budget of PDCCH candidates and non-overlapped CCEs for 480/960 kHz</w:t>
      </w:r>
    </w:p>
    <w:p w14:paraId="412FFF59" w14:textId="77777777" w:rsidR="001303AB" w:rsidRDefault="00D95AC5">
      <w:pPr>
        <w:pStyle w:val="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afc"/>
        <w:numPr>
          <w:ilvl w:val="0"/>
          <w:numId w:val="47"/>
        </w:numPr>
        <w:rPr>
          <w:b/>
          <w:bCs/>
          <w:lang w:eastAsia="zh-CN"/>
        </w:rPr>
      </w:pPr>
      <w:r>
        <w:rPr>
          <w:b/>
          <w:bCs/>
          <w:lang w:eastAsia="zh-CN"/>
        </w:rPr>
        <w:lastRenderedPageBreak/>
        <w:t>The following limits apply for multi-slot monitoring within X slots</w:t>
      </w:r>
    </w:p>
    <w:p w14:paraId="6F81625A" w14:textId="77777777" w:rsidR="001303AB" w:rsidRDefault="00D95AC5">
      <w:pPr>
        <w:pStyle w:val="afc"/>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afc"/>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afc"/>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afc"/>
        <w:numPr>
          <w:ilvl w:val="0"/>
          <w:numId w:val="47"/>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3"/>
        <w:rPr>
          <w:lang w:val="en-GB" w:eastAsia="zh-CN"/>
        </w:rPr>
      </w:pPr>
      <w:r>
        <w:rPr>
          <w:lang w:val="en-GB" w:eastAsia="zh-CN"/>
        </w:rPr>
        <w:t>Issue A3-2: PDCCH candidate dropping for 480/960 kHz</w:t>
      </w:r>
    </w:p>
    <w:p w14:paraId="5E4751BE" w14:textId="77777777" w:rsidR="001303AB" w:rsidRDefault="00D95AC5">
      <w:pPr>
        <w:pStyle w:val="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afc"/>
        <w:numPr>
          <w:ilvl w:val="0"/>
          <w:numId w:val="48"/>
        </w:numPr>
        <w:rPr>
          <w:b/>
          <w:bCs/>
          <w:szCs w:val="18"/>
        </w:rPr>
      </w:pPr>
      <w:r>
        <w:rPr>
          <w:b/>
          <w:bCs/>
          <w:szCs w:val="18"/>
        </w:rPr>
        <w:lastRenderedPageBreak/>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lastRenderedPageBreak/>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afc"/>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afc"/>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afc"/>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afc"/>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afc"/>
        <w:numPr>
          <w:ilvl w:val="0"/>
          <w:numId w:val="44"/>
        </w:numPr>
      </w:pPr>
      <w:r>
        <w:rPr>
          <w:b/>
          <w:bCs/>
          <w:szCs w:val="18"/>
        </w:rPr>
        <w:t>Additional dropping rules are not precluded</w:t>
      </w:r>
    </w:p>
    <w:p w14:paraId="2410590F" w14:textId="77777777" w:rsidR="001303AB" w:rsidRDefault="00D95AC5">
      <w:pPr>
        <w:pStyle w:val="4"/>
        <w:rPr>
          <w:sz w:val="22"/>
          <w:szCs w:val="22"/>
        </w:rPr>
      </w:pPr>
      <w:r>
        <w:rPr>
          <w:sz w:val="22"/>
          <w:szCs w:val="22"/>
        </w:rPr>
        <w:lastRenderedPageBreak/>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afc"/>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afc"/>
        <w:numPr>
          <w:ilvl w:val="0"/>
          <w:numId w:val="44"/>
        </w:numPr>
      </w:pPr>
      <w:r>
        <w:rPr>
          <w:b/>
          <w:bCs/>
          <w:szCs w:val="18"/>
        </w:rPr>
        <w:t>Additional dropping rules are not precluded</w:t>
      </w:r>
    </w:p>
    <w:p w14:paraId="05877BEA"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afc"/>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afc"/>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afc"/>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3"/>
        <w:rPr>
          <w:lang w:val="en-GB" w:eastAsia="zh-CN"/>
        </w:rPr>
      </w:pPr>
      <w:r>
        <w:rPr>
          <w:lang w:val="en-GB" w:eastAsia="zh-CN"/>
        </w:rPr>
        <w:t>Issue A3-3: PDCCH candidate dropping when MOs change</w:t>
      </w:r>
    </w:p>
    <w:p w14:paraId="52F2669F" w14:textId="77777777" w:rsidR="001303AB" w:rsidRDefault="00D95AC5">
      <w:pPr>
        <w:pStyle w:val="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afc"/>
        <w:spacing w:after="160"/>
        <w:ind w:left="0"/>
        <w:jc w:val="center"/>
      </w:pPr>
      <w:r>
        <w:object w:dxaOrig="10367" w:dyaOrig="3945" w14:anchorId="58F6B062">
          <v:shape id="_x0000_i1026" type="#_x0000_t75" style="width:518.25pt;height:197.65pt" o:ole="">
            <v:imagedata r:id="rId19" o:title=""/>
          </v:shape>
          <o:OLEObject Type="Embed" ProgID="Visio.Drawing.15" ShapeID="_x0000_i1026" DrawAspect="Content" ObjectID="_1698767478" r:id="rId20"/>
        </w:object>
      </w:r>
    </w:p>
    <w:p w14:paraId="76AD8ED0"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lastRenderedPageBreak/>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宋体"/>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宋体"/>
                <w:lang w:eastAsia="zh-CN"/>
              </w:rPr>
            </w:pPr>
            <w:r>
              <w:rPr>
                <w:rFonts w:eastAsia="宋体"/>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69BDBCCA" w14:textId="77777777" w:rsidR="001303AB" w:rsidRDefault="00D95AC5">
            <w:pPr>
              <w:rPr>
                <w:rFonts w:eastAsia="宋体"/>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bl>
    <w:p w14:paraId="1AE70DC4" w14:textId="77777777" w:rsidR="001303AB" w:rsidRDefault="001303AB">
      <w:pPr>
        <w:rPr>
          <w:lang w:eastAsia="zh-CN"/>
        </w:rPr>
      </w:pPr>
    </w:p>
    <w:p w14:paraId="2D07C829" w14:textId="77777777" w:rsidR="001303AB" w:rsidRDefault="00D95AC5">
      <w:pPr>
        <w:pStyle w:val="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2"/>
      </w:pPr>
      <w:r>
        <w:t>Topic B: Multi-Beam Aspects</w:t>
      </w:r>
    </w:p>
    <w:p w14:paraId="3BDB6C78" w14:textId="77777777" w:rsidR="001303AB" w:rsidRDefault="00D95AC5">
      <w:pPr>
        <w:pStyle w:val="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afc"/>
        <w:numPr>
          <w:ilvl w:val="0"/>
          <w:numId w:val="49"/>
        </w:numPr>
        <w:rPr>
          <w:b/>
        </w:rPr>
      </w:pPr>
      <w:r>
        <w:rPr>
          <w:b/>
        </w:rPr>
        <w:t>Remaining CO duration</w:t>
      </w:r>
    </w:p>
    <w:p w14:paraId="2A82E640" w14:textId="77777777" w:rsidR="001303AB" w:rsidRDefault="00D95AC5">
      <w:pPr>
        <w:pStyle w:val="afc"/>
        <w:numPr>
          <w:ilvl w:val="0"/>
          <w:numId w:val="49"/>
        </w:numPr>
        <w:rPr>
          <w:b/>
        </w:rPr>
      </w:pPr>
      <w:r>
        <w:rPr>
          <w:b/>
        </w:rPr>
        <w:t>Available RB set</w:t>
      </w:r>
    </w:p>
    <w:p w14:paraId="7AC7DE7E" w14:textId="77777777" w:rsidR="001303AB" w:rsidRDefault="00D95AC5">
      <w:pPr>
        <w:pStyle w:val="afc"/>
        <w:numPr>
          <w:ilvl w:val="0"/>
          <w:numId w:val="49"/>
        </w:numPr>
        <w:rPr>
          <w:b/>
        </w:rPr>
      </w:pPr>
      <w:r>
        <w:rPr>
          <w:b/>
        </w:rPr>
        <w:t>Search space group switching</w:t>
      </w:r>
    </w:p>
    <w:p w14:paraId="60AF7F48" w14:textId="77777777" w:rsidR="001303AB" w:rsidRDefault="001303AB">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lastRenderedPageBreak/>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bl>
    <w:p w14:paraId="14784CAD" w14:textId="77777777" w:rsidR="001303AB" w:rsidRDefault="00D95AC5">
      <w:pPr>
        <w:pStyle w:val="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2"/>
      </w:pPr>
      <w:r>
        <w:t>Topic C: Multi-Cell Operation, Cross-carrier scheduling</w:t>
      </w:r>
    </w:p>
    <w:p w14:paraId="3496150D" w14:textId="77777777" w:rsidR="001303AB" w:rsidRDefault="00D95AC5">
      <w:pPr>
        <w:pStyle w:val="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4"/>
        <w:rPr>
          <w:sz w:val="22"/>
          <w:szCs w:val="22"/>
        </w:rPr>
      </w:pPr>
      <w:r>
        <w:rPr>
          <w:sz w:val="22"/>
          <w:szCs w:val="22"/>
        </w:rPr>
        <w:lastRenderedPageBreak/>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afc"/>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afc"/>
        <w:numPr>
          <w:ilvl w:val="1"/>
          <w:numId w:val="50"/>
        </w:numPr>
        <w:spacing w:before="120"/>
        <w:rPr>
          <w:b/>
          <w:bCs/>
          <w:lang w:val="de-DE"/>
        </w:rPr>
      </w:pPr>
      <w:r>
        <w:rPr>
          <w:b/>
          <w:bCs/>
          <w:lang w:val="de-DE"/>
        </w:rPr>
        <w:t>Alt 1: k=4</w:t>
      </w:r>
    </w:p>
    <w:p w14:paraId="528916D1" w14:textId="77777777" w:rsidR="001303AB" w:rsidRDefault="00D95AC5">
      <w:pPr>
        <w:pStyle w:val="afc"/>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afc"/>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宋体"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lastRenderedPageBreak/>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afc"/>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afc"/>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afc"/>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af5"/>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lastRenderedPageBreak/>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afc"/>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宋体"/>
                <w:lang w:eastAsia="ja-JP"/>
              </w:rPr>
            </w:pPr>
            <w:r>
              <w:rPr>
                <w:rFonts w:eastAsia="宋体"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1"/>
      </w:pPr>
      <w:r>
        <w:lastRenderedPageBreak/>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afc"/>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宋体"/>
                <w:b/>
                <w:i/>
                <w:sz w:val="20"/>
                <w:szCs w:val="20"/>
                <w:lang w:eastAsia="zh-CN"/>
              </w:rPr>
            </w:pPr>
            <w:r>
              <w:rPr>
                <w:b/>
                <w:i/>
                <w:lang w:eastAsia="zh-CN"/>
              </w:rPr>
              <w:lastRenderedPageBreak/>
              <w:t>Y</w:t>
            </w:r>
            <w:r>
              <w:rPr>
                <w:b/>
                <w:i/>
                <w:vertAlign w:val="subscript"/>
                <w:lang w:eastAsia="zh-CN"/>
              </w:rPr>
              <w:t>Group1</w:t>
            </w:r>
            <w:r>
              <w:rPr>
                <w:rFonts w:eastAsia="宋体"/>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6309E195" w14:textId="77777777" w:rsidR="001303AB" w:rsidRDefault="00D95AC5">
            <w:pPr>
              <w:pStyle w:val="afc"/>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afc"/>
              <w:numPr>
                <w:ilvl w:val="0"/>
                <w:numId w:val="53"/>
              </w:numPr>
              <w:snapToGrid/>
              <w:spacing w:after="160"/>
              <w:contextualSpacing/>
              <w:rPr>
                <w:b/>
                <w:bCs/>
              </w:rPr>
            </w:pPr>
            <w:r>
              <w:rPr>
                <w:b/>
                <w:bCs/>
              </w:rPr>
              <w:t>For X=8: (YGroup1, YGroup2) = (4,2), (2,2), (1,2)</w:t>
            </w:r>
          </w:p>
          <w:p w14:paraId="138F0796" w14:textId="77777777" w:rsidR="001303AB" w:rsidRDefault="00D95AC5">
            <w:pPr>
              <w:pStyle w:val="afc"/>
              <w:numPr>
                <w:ilvl w:val="0"/>
                <w:numId w:val="53"/>
              </w:numPr>
              <w:snapToGrid/>
              <w:spacing w:after="160"/>
              <w:contextualSpacing/>
              <w:rPr>
                <w:b/>
                <w:bCs/>
              </w:rPr>
            </w:pPr>
            <w:r>
              <w:rPr>
                <w:b/>
                <w:bCs/>
              </w:rPr>
              <w:t>For X=4: (YGroup1, YGroup2) = (2,2), (1,2)</w:t>
            </w:r>
          </w:p>
          <w:p w14:paraId="7122C15B" w14:textId="77777777" w:rsidR="001303AB" w:rsidRDefault="00D95AC5">
            <w:pPr>
              <w:pStyle w:val="afc"/>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lastRenderedPageBreak/>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3"/>
        <w:jc w:val="both"/>
        <w:rPr>
          <w:lang w:val="en-GB" w:eastAsia="zh-CN"/>
        </w:rPr>
      </w:pPr>
      <w:r>
        <w:rPr>
          <w:lang w:val="en-GB" w:eastAsia="zh-CN"/>
        </w:rPr>
        <w:lastRenderedPageBreak/>
        <w:t>R1-2110999 (vivo)</w:t>
      </w:r>
    </w:p>
    <w:tbl>
      <w:tblPr>
        <w:tblStyle w:val="af5"/>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a7"/>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3A4D3DA"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afc"/>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a7"/>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a7"/>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5"/>
    </w:tbl>
    <w:p w14:paraId="7A2D3EE8" w14:textId="77777777" w:rsidR="001303AB" w:rsidRDefault="001303AB">
      <w:pPr>
        <w:rPr>
          <w:lang w:val="en-GB" w:eastAsia="zh-CN"/>
        </w:rPr>
      </w:pPr>
    </w:p>
    <w:p w14:paraId="34D33F2C"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宋体"/>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lastRenderedPageBreak/>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55570BD8" w14:textId="77777777" w:rsidR="001303AB" w:rsidRDefault="00D95AC5">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宋体"/>
                <w:b/>
                <w:lang w:eastAsia="zh-CN"/>
              </w:rPr>
            </w:pPr>
          </w:p>
        </w:tc>
      </w:tr>
    </w:tbl>
    <w:p w14:paraId="728620F9" w14:textId="77777777" w:rsidR="001303AB" w:rsidRDefault="001303AB">
      <w:pPr>
        <w:rPr>
          <w:lang w:eastAsia="zh-CN"/>
        </w:rPr>
      </w:pPr>
    </w:p>
    <w:p w14:paraId="1EABEBA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afc"/>
              <w:numPr>
                <w:ilvl w:val="0"/>
                <w:numId w:val="5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w:t>
            </w:r>
            <w:r>
              <w:rPr>
                <w:lang w:val="en-GB" w:eastAsia="zh-CN"/>
              </w:rPr>
              <w:lastRenderedPageBreak/>
              <w:t>procedure (and the associated Type0-PDCCH).</w:t>
            </w:r>
          </w:p>
          <w:p w14:paraId="7B1FD71B" w14:textId="77777777" w:rsidR="001303AB" w:rsidRDefault="00D95AC5">
            <w:pPr>
              <w:pStyle w:val="afc"/>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afc"/>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zh-CN"/>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a7"/>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aa"/>
              <w:rPr>
                <w:b/>
                <w:lang w:eastAsia="zh-CN"/>
              </w:rPr>
            </w:pPr>
          </w:p>
        </w:tc>
      </w:tr>
    </w:tbl>
    <w:p w14:paraId="7D08E2BC" w14:textId="77777777" w:rsidR="001303AB" w:rsidRDefault="001303AB">
      <w:pPr>
        <w:rPr>
          <w:lang w:eastAsia="zh-CN"/>
        </w:rPr>
      </w:pPr>
    </w:p>
    <w:p w14:paraId="58EF4CF1" w14:textId="77777777" w:rsidR="001303AB" w:rsidRDefault="00D95AC5">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aa"/>
              <w:rPr>
                <w:lang w:eastAsia="zh-CN"/>
              </w:rPr>
            </w:pPr>
          </w:p>
          <w:p w14:paraId="2756F76E" w14:textId="77777777" w:rsidR="001303AB" w:rsidRDefault="00D95AC5">
            <w:pPr>
              <w:pStyle w:val="aa"/>
            </w:pPr>
            <w:r>
              <w:rPr>
                <w:noProof/>
                <w:lang w:eastAsia="zh-CN"/>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aa"/>
            </w:pPr>
          </w:p>
          <w:p w14:paraId="2EA46AB3" w14:textId="77777777" w:rsidR="001303AB" w:rsidRDefault="00D95AC5">
            <w:pPr>
              <w:pStyle w:val="aa"/>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宋体"/>
                <w:b/>
                <w:bCs/>
              </w:rPr>
            </w:pPr>
            <w:r>
              <w:rPr>
                <w:rFonts w:eastAsia="宋体"/>
                <w:b/>
                <w:bCs/>
              </w:rPr>
              <w:t xml:space="preserve">Proposal 1b: Support SS dropping in case n0 changes. </w:t>
            </w:r>
          </w:p>
          <w:p w14:paraId="022097AC" w14:textId="77777777" w:rsidR="001303AB" w:rsidRDefault="00D95AC5">
            <w:pPr>
              <w:rPr>
                <w:rFonts w:eastAsia="宋体"/>
              </w:rPr>
            </w:pPr>
            <w:r>
              <w:rPr>
                <w:rFonts w:eastAsia="宋体"/>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0F412127" w14:textId="77777777" w:rsidR="001303AB" w:rsidRDefault="001303AB">
            <w:pPr>
              <w:pStyle w:val="aa"/>
            </w:pPr>
          </w:p>
          <w:p w14:paraId="50A19169" w14:textId="77777777" w:rsidR="001303AB" w:rsidRDefault="00D95AC5">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aa"/>
              <w:numPr>
                <w:ilvl w:val="0"/>
                <w:numId w:val="57"/>
              </w:numPr>
              <w:autoSpaceDE/>
              <w:autoSpaceDN/>
              <w:adjustRightInd/>
              <w:snapToGrid/>
              <w:contextualSpacing/>
            </w:pPr>
            <w:r>
              <w:t>Mandatory UE capability (FG 3-1)</w:t>
            </w:r>
          </w:p>
          <w:p w14:paraId="78D40CA1" w14:textId="77777777" w:rsidR="001303AB" w:rsidRDefault="00D95AC5">
            <w:pPr>
              <w:pStyle w:val="aa"/>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aa"/>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aa"/>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aa"/>
              <w:numPr>
                <w:ilvl w:val="1"/>
                <w:numId w:val="57"/>
              </w:numPr>
              <w:autoSpaceDE/>
              <w:autoSpaceDN/>
              <w:adjustRightInd/>
              <w:snapToGrid/>
            </w:pPr>
            <w:r>
              <w:t>Group (1) SSs monitored in any OFDM symbols of a slot</w:t>
            </w:r>
          </w:p>
          <w:p w14:paraId="731D8C30" w14:textId="77777777" w:rsidR="001303AB" w:rsidRDefault="00D95AC5">
            <w:pPr>
              <w:pStyle w:val="aa"/>
            </w:pPr>
            <w:r>
              <w:t>where</w:t>
            </w:r>
          </w:p>
          <w:p w14:paraId="4F981009" w14:textId="77777777" w:rsidR="001303AB" w:rsidRDefault="00D95AC5">
            <w:pPr>
              <w:pStyle w:val="aa"/>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aa"/>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aa"/>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zh-CN"/>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afc"/>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D0C536E"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B8F3688"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afc"/>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8.75pt;height:111pt" o:ole="">
                  <v:imagedata r:id="rId24" o:title=""/>
                </v:shape>
                <o:OLEObject Type="Embed" ProgID="Visio.Drawing.15" ShapeID="_x0000_i1027" DrawAspect="Content" ObjectID="_1698767479"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360.4pt;height:170.65pt" o:ole="">
                  <v:imagedata r:id="rId26" o:title=""/>
                </v:shape>
                <o:OLEObject Type="Embed" ProgID="Visio.Drawing.15" ShapeID="_x0000_i1028" DrawAspect="Content" ObjectID="_1698767480"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afc"/>
              <w:spacing w:after="160"/>
              <w:ind w:left="0"/>
              <w:rPr>
                <w:lang w:eastAsia="zh-CN"/>
              </w:rPr>
            </w:pPr>
          </w:p>
          <w:p w14:paraId="19D0398B" w14:textId="77777777" w:rsidR="001303AB" w:rsidRDefault="00D95AC5">
            <w:pPr>
              <w:pStyle w:val="afc"/>
              <w:spacing w:after="160"/>
              <w:ind w:left="0"/>
              <w:jc w:val="center"/>
              <w:rPr>
                <w:lang w:eastAsia="zh-CN"/>
              </w:rPr>
            </w:pPr>
            <w:r>
              <w:object w:dxaOrig="9432" w:dyaOrig="5043" w14:anchorId="170983B6">
                <v:shape id="_x0000_i1029" type="#_x0000_t75" style="width:471.75pt;height:252pt" o:ole="">
                  <v:imagedata r:id="rId28" o:title=""/>
                </v:shape>
                <o:OLEObject Type="Embed" ProgID="Visio.Drawing.15" ShapeID="_x0000_i1029" DrawAspect="Content" ObjectID="_1698767481" r:id="rId29"/>
              </w:object>
            </w:r>
          </w:p>
          <w:p w14:paraId="643C4D61" w14:textId="77777777" w:rsidR="001303AB" w:rsidRDefault="00D95AC5">
            <w:pPr>
              <w:pStyle w:val="afc"/>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afc"/>
              <w:spacing w:after="160"/>
              <w:ind w:left="0"/>
              <w:rPr>
                <w:lang w:eastAsia="zh-CN"/>
              </w:rPr>
            </w:pPr>
          </w:p>
          <w:p w14:paraId="3327D76F"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1A8090DF" w14:textId="77777777" w:rsidR="001303AB" w:rsidRDefault="001303AB">
            <w:pPr>
              <w:pStyle w:val="afc"/>
              <w:spacing w:after="160"/>
              <w:ind w:left="0"/>
              <w:jc w:val="both"/>
              <w:rPr>
                <w:b/>
                <w:bCs/>
                <w:i/>
                <w:iCs/>
              </w:rPr>
            </w:pPr>
          </w:p>
          <w:p w14:paraId="514282CB"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afc"/>
              <w:spacing w:after="160"/>
              <w:ind w:left="0"/>
              <w:jc w:val="both"/>
              <w:rPr>
                <w:b/>
                <w:bCs/>
                <w:i/>
                <w:iCs/>
                <w:lang w:eastAsia="zh-CN"/>
              </w:rPr>
            </w:pPr>
          </w:p>
          <w:p w14:paraId="4B5CAE63"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afc"/>
              <w:spacing w:after="160"/>
              <w:ind w:left="0"/>
              <w:rPr>
                <w:lang w:eastAsia="zh-CN"/>
              </w:rPr>
            </w:pPr>
          </w:p>
          <w:p w14:paraId="7C68CABE"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a7"/>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a7"/>
              <w:spacing w:after="0"/>
              <w:rPr>
                <w:sz w:val="22"/>
                <w:szCs w:val="22"/>
                <w:lang w:eastAsia="zh-CN"/>
              </w:rPr>
            </w:pPr>
            <w:r>
              <w:rPr>
                <w:rFonts w:hint="eastAsia"/>
                <w:noProof/>
                <w:sz w:val="22"/>
                <w:szCs w:val="22"/>
                <w:lang w:eastAsia="zh-CN"/>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a7"/>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a7"/>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aa"/>
            </w:pPr>
          </w:p>
          <w:p w14:paraId="5C5783C2" w14:textId="77777777" w:rsidR="001303AB" w:rsidRDefault="00D95AC5">
            <w:pPr>
              <w:pStyle w:val="aa"/>
              <w:rPr>
                <w:rFonts w:ascii="Times" w:hAnsi="Times"/>
                <w:szCs w:val="24"/>
              </w:rPr>
            </w:pPr>
            <w:r>
              <w:object w:dxaOrig="9595" w:dyaOrig="2266" w14:anchorId="4A2BE37F">
                <v:shape id="_x0000_i1030" type="#_x0000_t75" style="width:480.4pt;height:113.65pt" o:ole="">
                  <v:imagedata r:id="rId31" o:title=""/>
                </v:shape>
                <o:OLEObject Type="Embed" ProgID="Visio.Drawing.15" ShapeID="_x0000_i1030" DrawAspect="Content" ObjectID="_1698767482" r:id="rId32"/>
              </w:object>
            </w:r>
            <w:r>
              <w:rPr>
                <w:rFonts w:ascii="Times" w:hAnsi="Times"/>
                <w:szCs w:val="24"/>
              </w:rPr>
              <w:t xml:space="preserve"> </w:t>
            </w:r>
          </w:p>
          <w:p w14:paraId="246689C3" w14:textId="77777777" w:rsidR="001303AB" w:rsidRDefault="00D95AC5">
            <w:pPr>
              <w:pStyle w:val="aa"/>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aa"/>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aa"/>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aa"/>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aa"/>
            </w:pPr>
            <w:r>
              <w:t>To summarize, we propose to agree with the following in this meeting:</w:t>
            </w:r>
          </w:p>
          <w:p w14:paraId="7D1B7CF2" w14:textId="77777777" w:rsidR="001303AB" w:rsidRDefault="00D95AC5">
            <w:pPr>
              <w:pStyle w:val="aa"/>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afc"/>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afc"/>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afc"/>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afc"/>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afc"/>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afc"/>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afc"/>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afc"/>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lastRenderedPageBreak/>
              <w:t>Proposal 3:</w:t>
            </w:r>
            <w:r>
              <w:rPr>
                <w:i/>
                <w:iCs/>
              </w:rPr>
              <w:t xml:space="preserve"> On the  values of X for Alt-1 and Alt-2:</w:t>
            </w:r>
          </w:p>
          <w:p w14:paraId="55D2949F" w14:textId="77777777" w:rsidR="001303AB" w:rsidRDefault="00D95AC5">
            <w:pPr>
              <w:pStyle w:val="afc"/>
              <w:numPr>
                <w:ilvl w:val="0"/>
                <w:numId w:val="67"/>
              </w:numPr>
              <w:snapToGrid/>
              <w:spacing w:line="240" w:lineRule="auto"/>
              <w:ind w:left="360"/>
              <w:jc w:val="both"/>
              <w:rPr>
                <w:i/>
                <w:iCs/>
              </w:rPr>
            </w:pPr>
            <w:r>
              <w:rPr>
                <w:i/>
                <w:iCs/>
              </w:rPr>
              <w:t xml:space="preserve">Single-slot PDCCH monitoring for 480 kHz and 960 kHz is not supported. </w:t>
            </w:r>
          </w:p>
          <w:p w14:paraId="0A9C7533" w14:textId="77777777" w:rsidR="001303AB" w:rsidRDefault="00D95AC5">
            <w:pPr>
              <w:pStyle w:val="afc"/>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afc"/>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afc"/>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7A8A63B2"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afc"/>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afc"/>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afc"/>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afc"/>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afc"/>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For Group (1) SS</w:t>
            </w:r>
          </w:p>
          <w:p w14:paraId="12820E17"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can be anywhere within a slot group of X slots</w:t>
            </w:r>
          </w:p>
          <w:p w14:paraId="57A441E4" w14:textId="77777777" w:rsidR="001303AB" w:rsidRDefault="00D95AC5">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For Group (2) SS</w:t>
            </w:r>
          </w:p>
          <w:p w14:paraId="0529F8B3"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宋体"/>
                <w:b/>
                <w:bCs/>
                <w:color w:val="FF0000"/>
              </w:rPr>
            </w:pPr>
            <w:r>
              <w:rPr>
                <w:rFonts w:eastAsia="宋体"/>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a7"/>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6E6CA70C" w14:textId="77777777" w:rsidR="001303AB" w:rsidRDefault="00D95AC5">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a7"/>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afc"/>
              <w:numPr>
                <w:ilvl w:val="0"/>
                <w:numId w:val="71"/>
              </w:numPr>
              <w:snapToGrid/>
              <w:spacing w:line="240" w:lineRule="auto"/>
              <w:jc w:val="both"/>
              <w:rPr>
                <w:b/>
                <w:bCs/>
              </w:rPr>
            </w:pPr>
            <w:r>
              <w:rPr>
                <w:b/>
                <w:bCs/>
              </w:rPr>
              <w:t>Y</w:t>
            </w:r>
            <w:r>
              <w:rPr>
                <w:b/>
                <w:bCs/>
                <w:vertAlign w:val="subscript"/>
              </w:rPr>
              <w:t>Group1</w:t>
            </w:r>
            <w:r>
              <w:rPr>
                <w:b/>
                <w:bCs/>
              </w:rPr>
              <w:t xml:space="preserve"> = 1 slot is the mandatory UE capability.</w:t>
            </w:r>
          </w:p>
          <w:p w14:paraId="3A9091F1" w14:textId="77777777" w:rsidR="001303AB" w:rsidRDefault="00D95AC5">
            <w:pPr>
              <w:pStyle w:val="afc"/>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a7"/>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afc"/>
                    <w:numPr>
                      <w:ilvl w:val="0"/>
                      <w:numId w:val="16"/>
                    </w:numPr>
                    <w:spacing w:line="240" w:lineRule="auto"/>
                  </w:pPr>
                  <w:r>
                    <w:t>Option B-rev</w:t>
                  </w:r>
                  <w:r>
                    <w:rPr>
                      <w:color w:val="FF0000"/>
                    </w:rPr>
                    <w:t>2</w:t>
                  </w:r>
                </w:p>
                <w:p w14:paraId="3D649436" w14:textId="77777777" w:rsidR="001303AB" w:rsidRDefault="00D95AC5">
                  <w:pPr>
                    <w:pStyle w:val="afc"/>
                    <w:numPr>
                      <w:ilvl w:val="1"/>
                      <w:numId w:val="16"/>
                    </w:numPr>
                    <w:spacing w:line="240" w:lineRule="auto"/>
                  </w:pPr>
                  <w:r>
                    <w:t>The reported capability indicates the BD/CCE budget within X slots</w:t>
                  </w:r>
                </w:p>
                <w:p w14:paraId="5696BDEC" w14:textId="77777777" w:rsidR="001303AB" w:rsidRDefault="00D95AC5">
                  <w:pPr>
                    <w:pStyle w:val="afc"/>
                    <w:numPr>
                      <w:ilvl w:val="1"/>
                      <w:numId w:val="16"/>
                    </w:numPr>
                    <w:spacing w:line="240" w:lineRule="auto"/>
                  </w:pPr>
                  <w:r>
                    <w:t>For Group (1) SS</w:t>
                  </w:r>
                </w:p>
                <w:p w14:paraId="7000EC8F" w14:textId="77777777" w:rsidR="001303AB" w:rsidRDefault="00D95AC5">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afc"/>
                    <w:numPr>
                      <w:ilvl w:val="1"/>
                      <w:numId w:val="16"/>
                    </w:numPr>
                    <w:spacing w:line="240" w:lineRule="auto"/>
                  </w:pPr>
                  <w:r>
                    <w:t>For Group (2) SS</w:t>
                  </w:r>
                </w:p>
                <w:p w14:paraId="20457E42" w14:textId="77777777" w:rsidR="001303AB" w:rsidRDefault="00D95AC5">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afc"/>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afc"/>
                    <w:numPr>
                      <w:ilvl w:val="3"/>
                      <w:numId w:val="16"/>
                    </w:numPr>
                    <w:spacing w:line="240" w:lineRule="auto"/>
                    <w:rPr>
                      <w:color w:val="FF0000"/>
                    </w:rPr>
                  </w:pPr>
                  <w:r>
                    <w:rPr>
                      <w:color w:val="FF0000"/>
                    </w:rPr>
                    <w:t>Alt 1) slot n0 and slot n0+X</w:t>
                  </w:r>
                </w:p>
                <w:p w14:paraId="0A5409B6" w14:textId="77777777" w:rsidR="001303AB" w:rsidRDefault="00D95AC5">
                  <w:pPr>
                    <w:pStyle w:val="afc"/>
                    <w:numPr>
                      <w:ilvl w:val="3"/>
                      <w:numId w:val="16"/>
                    </w:numPr>
                    <w:spacing w:line="240" w:lineRule="auto"/>
                    <w:rPr>
                      <w:color w:val="FF0000"/>
                    </w:rPr>
                  </w:pPr>
                  <w:r>
                    <w:rPr>
                      <w:color w:val="FF0000"/>
                    </w:rPr>
                    <w:t>Alt 2) slot n0 only</w:t>
                  </w:r>
                </w:p>
                <w:p w14:paraId="550532FA" w14:textId="77777777" w:rsidR="001303AB" w:rsidRDefault="00D95AC5">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438192F0"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afc"/>
                    <w:numPr>
                      <w:ilvl w:val="1"/>
                      <w:numId w:val="16"/>
                    </w:numPr>
                    <w:spacing w:line="240" w:lineRule="auto"/>
                    <w:rPr>
                      <w:color w:val="FF0000"/>
                    </w:rPr>
                  </w:pPr>
                  <w:r>
                    <w:rPr>
                      <w:color w:val="FF0000"/>
                    </w:rPr>
                    <w:t>Supported the following values of Y’s</w:t>
                  </w:r>
                </w:p>
                <w:p w14:paraId="3A94053A" w14:textId="77777777" w:rsidR="001303AB" w:rsidRDefault="00D95AC5">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a7"/>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afc"/>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afc"/>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580C20B" w14:textId="77777777" w:rsidR="001303AB" w:rsidRDefault="00D95AC5">
            <w:pPr>
              <w:pStyle w:val="afc"/>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afc"/>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afc"/>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afc"/>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afc"/>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2"/>
      </w:pPr>
      <w:r>
        <w:lastRenderedPageBreak/>
        <w:t>Topic A2: Search Space Configuration/Enhancement</w:t>
      </w:r>
    </w:p>
    <w:p w14:paraId="4C572BC7"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afc"/>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afc"/>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afc"/>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afc"/>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afc"/>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afc"/>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afc"/>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afc"/>
              <w:numPr>
                <w:ilvl w:val="0"/>
                <w:numId w:val="76"/>
              </w:numPr>
              <w:snapToGrid/>
              <w:spacing w:after="160"/>
              <w:contextualSpacing/>
              <w:rPr>
                <w:bCs/>
              </w:rPr>
            </w:pPr>
            <w:r>
              <w:rPr>
                <w:bCs/>
                <w:i/>
                <w:iCs/>
              </w:rPr>
              <w:lastRenderedPageBreak/>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zh-CN"/>
              </w:rPr>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a7"/>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afc"/>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zh-CN"/>
              </w:rPr>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636218FE" w14:textId="77777777" w:rsidR="001303AB" w:rsidRDefault="001303AB">
      <w:pPr>
        <w:rPr>
          <w:lang w:eastAsia="zh-CN"/>
        </w:rPr>
      </w:pPr>
    </w:p>
    <w:p w14:paraId="4565BE49"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zh-CN"/>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宋体" w:hint="eastAsia"/>
                <w:b/>
                <w:bCs/>
                <w:lang w:eastAsia="zh-CN"/>
              </w:rPr>
              <w:t>Figure 3: Configurations if a fixed pattern of slot groups is supported</w:t>
            </w:r>
          </w:p>
          <w:p w14:paraId="10AF0491" w14:textId="77777777" w:rsidR="001303AB" w:rsidRDefault="00D95AC5">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afc"/>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afc"/>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afc"/>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afc"/>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afc"/>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aa"/>
              <w:keepNext/>
              <w:jc w:val="center"/>
            </w:pPr>
            <w:r>
              <w:lastRenderedPageBreak/>
              <w:t xml:space="preserve"> </w:t>
            </w:r>
            <w:r>
              <w:object w:dxaOrig="6736" w:dyaOrig="3119" w14:anchorId="7EDB4704">
                <v:shape id="_x0000_i1031" type="#_x0000_t75" style="width:337.15pt;height:156pt" o:ole="">
                  <v:imagedata r:id="rId16" o:title=""/>
                </v:shape>
                <o:OLEObject Type="Embed" ProgID="Visio.Drawing.11" ShapeID="_x0000_i1031" DrawAspect="Content" ObjectID="_1698767483" r:id="rId36"/>
              </w:object>
            </w:r>
          </w:p>
          <w:p w14:paraId="3C7BCCF0" w14:textId="77777777" w:rsidR="001303AB" w:rsidRDefault="00D95AC5">
            <w:pPr>
              <w:pStyle w:val="a7"/>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7471EA07" w14:textId="77777777" w:rsidR="001303AB" w:rsidRDefault="00D95AC5">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aa"/>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aa"/>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aa"/>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aa"/>
              <w:keepNext/>
              <w:jc w:val="center"/>
            </w:pPr>
            <w:r>
              <w:object w:dxaOrig="6402" w:dyaOrig="1972" w14:anchorId="3D405A2A">
                <v:shape id="_x0000_i1032" type="#_x0000_t75" style="width:320.25pt;height:98.65pt" o:ole="">
                  <v:imagedata r:id="rId37" o:title=""/>
                </v:shape>
                <o:OLEObject Type="Embed" ProgID="Visio.Drawing.11" ShapeID="_x0000_i1032" DrawAspect="Content" ObjectID="_1698767484" r:id="rId38"/>
              </w:object>
            </w:r>
          </w:p>
          <w:p w14:paraId="6D45B4A1" w14:textId="77777777" w:rsidR="001303AB" w:rsidRDefault="00D95AC5">
            <w:pPr>
              <w:pStyle w:val="a7"/>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262F867E" w14:textId="77777777" w:rsidR="001303AB" w:rsidRDefault="00D95AC5">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aa"/>
              <w:rPr>
                <w:b/>
                <w:lang w:eastAsia="zh-CN"/>
              </w:rPr>
            </w:pPr>
          </w:p>
        </w:tc>
      </w:tr>
    </w:tbl>
    <w:p w14:paraId="50941425" w14:textId="77777777" w:rsidR="001303AB" w:rsidRDefault="001303AB">
      <w:pPr>
        <w:rPr>
          <w:lang w:eastAsia="zh-CN"/>
        </w:rPr>
      </w:pPr>
    </w:p>
    <w:p w14:paraId="5BD5A53C" w14:textId="77777777" w:rsidR="001303AB" w:rsidRDefault="00D95AC5">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afc"/>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afc"/>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afc"/>
              <w:rPr>
                <w:rFonts w:ascii="Times New Roman" w:eastAsia="MS Mincho" w:hAnsi="Times New Roman"/>
                <w:color w:val="000000" w:themeColor="text1"/>
                <w:sz w:val="20"/>
                <w:szCs w:val="20"/>
                <w:lang w:eastAsia="ja-JP"/>
              </w:rPr>
            </w:pPr>
          </w:p>
          <w:p w14:paraId="3E53E7C1" w14:textId="77777777" w:rsidR="001303AB" w:rsidRDefault="00D95AC5">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afc"/>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afc"/>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afc"/>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33213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065C7C27"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33213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651CD9E" w14:textId="77777777" w:rsidR="001303AB" w:rsidRDefault="0033213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02B8428"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aa"/>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FE44ABF" w14:textId="77777777" w:rsidR="001303AB" w:rsidRDefault="00D95AC5">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aa"/>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65pt;height:98.65pt" o:ole="">
                  <v:imagedata r:id="rId39" o:title=""/>
                </v:shape>
                <o:OLEObject Type="Embed" ProgID="Visio.Drawing.15" ShapeID="_x0000_i1033" DrawAspect="Content" ObjectID="_1698767485"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afc"/>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afc"/>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afc"/>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4pt;height:143.65pt" o:ole="">
                  <v:imagedata r:id="rId41" o:title=""/>
                </v:shape>
                <o:OLEObject Type="Embed" ProgID="Visio.Drawing.15" ShapeID="_x0000_i1034" DrawAspect="Content" ObjectID="_1698767486"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zh-CN"/>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a7"/>
            </w:pPr>
            <w:bookmarkStart w:id="67" w:name="_Ref68624864"/>
            <w:r>
              <w:t xml:space="preserve">Figure </w:t>
            </w:r>
            <w:fldSimple w:instr=" SEQ Figure \* ARABIC ">
              <w:r>
                <w:t>1</w:t>
              </w:r>
            </w:fldSimple>
            <w:bookmarkEnd w:id="67"/>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afc"/>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af5"/>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afc"/>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afc"/>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a7"/>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a7"/>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277895F2" w14:textId="77777777" w:rsidR="001303AB" w:rsidRDefault="00D95AC5">
            <w:pPr>
              <w:pStyle w:val="a7"/>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a7"/>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a7"/>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afc"/>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afc"/>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a7"/>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4pt;height:60.4pt" o:ole="">
                  <v:imagedata r:id="rId46" o:title=""/>
                </v:shape>
                <o:OLEObject Type="Embed" ProgID="Visio.Drawing.15" ShapeID="_x0000_i1035" DrawAspect="Content" ObjectID="_1698767487"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4pt;height:60.4pt" o:ole="">
                  <v:imagedata r:id="rId48" o:title=""/>
                </v:shape>
                <o:OLEObject Type="Embed" ProgID="Visio.Drawing.15" ShapeID="_x0000_i1036" DrawAspect="Content" ObjectID="_1698767488"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4pt;height:60.4pt" o:ole="">
                  <v:imagedata r:id="rId50" o:title=""/>
                </v:shape>
                <o:OLEObject Type="Embed" ProgID="Visio.Drawing.15" ShapeID="_x0000_i1037" DrawAspect="Content" ObjectID="_1698767489" r:id="rId51"/>
              </w:object>
            </w:r>
          </w:p>
          <w:p w14:paraId="532C4870" w14:textId="77777777" w:rsidR="001303AB" w:rsidRDefault="00D95AC5">
            <w:pPr>
              <w:jc w:val="center"/>
            </w:pPr>
            <w:r>
              <w:t>(c)</w:t>
            </w:r>
          </w:p>
          <w:p w14:paraId="64E3C401" w14:textId="77777777" w:rsidR="001303AB" w:rsidRDefault="00D95AC5">
            <w:pPr>
              <w:pStyle w:val="a7"/>
              <w:jc w:val="center"/>
            </w:pPr>
            <w:bookmarkStart w:id="73" w:name="_Ref86706230"/>
            <w:r>
              <w:t xml:space="preserve">Figure </w:t>
            </w:r>
            <w:fldSimple w:instr=" SEQ Figure \* ARABIC ">
              <w:r>
                <w:t>1</w:t>
              </w:r>
            </w:fldSimple>
            <w:bookmarkEnd w:id="73"/>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2"/>
      </w:pPr>
      <w:r>
        <w:t>Topic A3: BD Budget/Dropping</w:t>
      </w:r>
    </w:p>
    <w:p w14:paraId="60FDBAFE" w14:textId="77777777" w:rsidR="001303AB" w:rsidRDefault="00D95AC5">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74449B4E" w14:textId="77777777" w:rsidR="001303AB" w:rsidRDefault="001303AB">
            <w:pPr>
              <w:widowControl/>
              <w:rPr>
                <w:rFonts w:ascii="Calibri" w:eastAsia="宋体" w:hAnsi="Calibri" w:cs="Calibri"/>
                <w:b/>
                <w:bCs/>
                <w:sz w:val="20"/>
                <w:szCs w:val="20"/>
              </w:rPr>
            </w:pPr>
          </w:p>
          <w:p w14:paraId="07070370" w14:textId="77777777" w:rsidR="001303AB" w:rsidRDefault="00D95AC5">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3F32848B"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afc"/>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afc"/>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afc"/>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afc"/>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69ED6B01" w14:textId="77777777" w:rsidR="001303AB" w:rsidRDefault="001303AB">
      <w:pPr>
        <w:rPr>
          <w:lang w:val="en-GB" w:eastAsia="zh-CN"/>
        </w:rPr>
      </w:pPr>
    </w:p>
    <w:p w14:paraId="542EE74B"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0.65pt;height:18.4pt" o:ole="">
                  <v:imagedata r:id="rId53" o:title=""/>
                </v:shape>
                <o:OLEObject Type="Embed" ProgID="Equation.3" ShapeID="_x0000_i1038" DrawAspect="Content" ObjectID="_1698767490"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zh-CN"/>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aa"/>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6C5FD76B" w14:textId="77777777" w:rsidR="001303AB" w:rsidRDefault="00D95AC5">
                  <w:pPr>
                    <w:pStyle w:val="aa"/>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aa"/>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aa"/>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宋体"/>
                <w:b/>
                <w:bCs/>
              </w:rPr>
            </w:pPr>
            <w:r>
              <w:rPr>
                <w:rFonts w:eastAsia="宋体"/>
                <w:b/>
                <w:bCs/>
              </w:rPr>
              <w:t xml:space="preserve">Proposal 1b: Support SS dropping in case n0 changes. </w:t>
            </w:r>
          </w:p>
          <w:p w14:paraId="2B42ACB1" w14:textId="77777777" w:rsidR="001303AB" w:rsidRDefault="00D95AC5">
            <w:pPr>
              <w:rPr>
                <w:rFonts w:eastAsia="宋体"/>
              </w:rPr>
            </w:pPr>
            <w:r>
              <w:rPr>
                <w:rFonts w:eastAsia="宋体"/>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afc"/>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4012E3A" w14:textId="77777777" w:rsidR="001303AB" w:rsidRDefault="00D95AC5">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aa"/>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afc"/>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afc"/>
              <w:spacing w:after="160"/>
              <w:ind w:left="0"/>
              <w:jc w:val="both"/>
              <w:rPr>
                <w:b/>
                <w:bCs/>
                <w:i/>
                <w:iCs/>
              </w:rPr>
            </w:pPr>
          </w:p>
          <w:p w14:paraId="791E87A3" w14:textId="77777777" w:rsidR="001303AB" w:rsidRDefault="00D95AC5">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afc"/>
              <w:spacing w:after="160"/>
              <w:ind w:left="0"/>
              <w:jc w:val="both"/>
              <w:rPr>
                <w:b/>
                <w:bCs/>
                <w:i/>
                <w:iCs/>
                <w:lang w:eastAsia="zh-CN"/>
              </w:rPr>
            </w:pPr>
          </w:p>
          <w:p w14:paraId="615E346D" w14:textId="77777777" w:rsidR="001303AB" w:rsidRDefault="00D95AC5">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afc"/>
              <w:spacing w:after="160"/>
              <w:ind w:left="0"/>
              <w:rPr>
                <w:lang w:eastAsia="zh-CN"/>
              </w:rPr>
            </w:pPr>
          </w:p>
          <w:p w14:paraId="18EC34BF" w14:textId="77777777" w:rsidR="001303AB" w:rsidRDefault="00D95AC5">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afc"/>
              <w:spacing w:after="160"/>
              <w:ind w:left="0"/>
              <w:jc w:val="center"/>
            </w:pPr>
            <w:r>
              <w:object w:dxaOrig="10367" w:dyaOrig="3904" w14:anchorId="15BECAB3">
                <v:shape id="_x0000_i1039" type="#_x0000_t75" style="width:518.25pt;height:195pt" o:ole="">
                  <v:imagedata r:id="rId19" o:title=""/>
                </v:shape>
                <o:OLEObject Type="Embed" ProgID="Visio.Drawing.15" ShapeID="_x0000_i1039" DrawAspect="Content" ObjectID="_1698767491" r:id="rId58"/>
              </w:object>
            </w:r>
          </w:p>
          <w:p w14:paraId="5ACE129D" w14:textId="77777777" w:rsidR="001303AB" w:rsidRDefault="00D95AC5">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pt;height:18.4pt" o:ole="">
                  <v:imagedata r:id="rId59" o:title=""/>
                </v:shape>
                <o:OLEObject Type="Embed" ProgID="Equation.3" ShapeID="_x0000_i1040" DrawAspect="Content" ObjectID="_1698767492" r:id="rId60"/>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pt;height:18.4pt" o:ole="">
                  <v:imagedata r:id="rId59" o:title=""/>
                </v:shape>
                <o:OLEObject Type="Embed" ProgID="Equation.3" ShapeID="_x0000_i1041" DrawAspect="Content" ObjectID="_1698767493" r:id="rId61"/>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aa"/>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aa"/>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aa"/>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aa"/>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aa"/>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aa"/>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4pt;height:113.65pt" o:ole="">
                  <v:imagedata r:id="rId62" o:title=""/>
                </v:shape>
                <o:OLEObject Type="Embed" ProgID="Visio.Drawing.15" ShapeID="_x0000_i1042" DrawAspect="Content" ObjectID="_1698767494"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afc"/>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afc"/>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a7"/>
            </w:pPr>
            <w:bookmarkStart w:id="90" w:name="_Toc83587356"/>
            <w:bookmarkStart w:id="91" w:name="_Toc8357332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afc"/>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afc"/>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a7"/>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afc"/>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afc"/>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afc"/>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4pt;height:60pt" o:ole="">
                  <v:imagedata r:id="rId46" o:title=""/>
                </v:shape>
                <o:OLEObject Type="Embed" ProgID="Visio.Drawing.15" ShapeID="_x0000_i1043" DrawAspect="Content" ObjectID="_1698767495"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4pt;height:60pt" o:ole="">
                  <v:imagedata r:id="rId48" o:title=""/>
                </v:shape>
                <o:OLEObject Type="Embed" ProgID="Visio.Drawing.15" ShapeID="_x0000_i1044" DrawAspect="Content" ObjectID="_1698767496"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4pt;height:60pt" o:ole="">
                  <v:imagedata r:id="rId50" o:title=""/>
                </v:shape>
                <o:OLEObject Type="Embed" ProgID="Visio.Drawing.15" ShapeID="_x0000_i1045" DrawAspect="Content" ObjectID="_1698767497" r:id="rId66"/>
              </w:object>
            </w:r>
          </w:p>
          <w:p w14:paraId="4A9423E6" w14:textId="77777777" w:rsidR="001303AB" w:rsidRDefault="00D95AC5">
            <w:pPr>
              <w:jc w:val="center"/>
            </w:pPr>
            <w:r>
              <w:t>(c)</w:t>
            </w:r>
          </w:p>
          <w:p w14:paraId="30320878" w14:textId="77777777" w:rsidR="001303AB" w:rsidRDefault="00D95AC5">
            <w:pPr>
              <w:pStyle w:val="a7"/>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2"/>
      </w:pPr>
      <w:r>
        <w:lastRenderedPageBreak/>
        <w:t>Topic B: Multi-Beam Aspects</w:t>
      </w:r>
    </w:p>
    <w:p w14:paraId="5BE4296A" w14:textId="77777777" w:rsidR="001303AB" w:rsidRDefault="00D95AC5">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2"/>
      </w:pPr>
      <w:r>
        <w:lastRenderedPageBreak/>
        <w:t>Topic C: Multi-Cell Operation, Cross-carrier scheduling</w:t>
      </w:r>
    </w:p>
    <w:p w14:paraId="72CAF9C6" w14:textId="77777777" w:rsidR="001303AB" w:rsidRDefault="00D95AC5">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afc"/>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afc"/>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afc"/>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274118F2" w14:textId="77777777" w:rsidR="001303AB" w:rsidRDefault="00D95AC5">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宋体" w:hAnsi="宋体" w:cs="宋体"/>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afc"/>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afc"/>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afc"/>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4pt;height:14.65pt" o:ole="">
                  <v:imagedata r:id="rId67" o:title=""/>
                </v:shape>
                <o:OLEObject Type="Embed" ProgID="Equation.DSMT4" ShapeID="_x0000_i1046" DrawAspect="Content" ObjectID="_1698767498" r:id="rId68"/>
              </w:object>
            </w:r>
            <w:r>
              <w:t>.</w:t>
            </w:r>
          </w:p>
          <w:p w14:paraId="21333FE0" w14:textId="77777777" w:rsidR="001303AB" w:rsidRDefault="00D95AC5">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4pt;height:14.65pt" o:ole="">
                  <v:imagedata r:id="rId67" o:title=""/>
                </v:shape>
                <o:OLEObject Type="Embed" ProgID="Equation.DSMT4" ShapeID="_x0000_i1047" DrawAspect="Content" ObjectID="_1698767499" r:id="rId69"/>
              </w:object>
            </w:r>
            <w:r>
              <w:rPr>
                <w:b/>
                <w:i/>
                <w:lang w:eastAsia="zh-CN"/>
              </w:rPr>
              <w:t>.</w:t>
            </w:r>
          </w:p>
          <w:p w14:paraId="46262574" w14:textId="77777777" w:rsidR="001303AB" w:rsidRDefault="001303AB">
            <w:pPr>
              <w:pStyle w:val="aa"/>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afc"/>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afc"/>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afc"/>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20"/>
              <w:rPr>
                <w:rFonts w:eastAsia="Batang"/>
                <w:b/>
                <w:lang w:eastAsia="ko-KR"/>
              </w:rPr>
            </w:pPr>
          </w:p>
          <w:p w14:paraId="77734C56" w14:textId="77777777" w:rsidR="001303AB" w:rsidRDefault="00D95AC5">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afc"/>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a7"/>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a7"/>
              <w:numPr>
                <w:ilvl w:val="0"/>
                <w:numId w:val="103"/>
              </w:numPr>
              <w:autoSpaceDE/>
              <w:autoSpaceDN/>
              <w:adjustRightInd/>
              <w:snapToGrid/>
              <w:spacing w:after="0" w:line="240" w:lineRule="auto"/>
            </w:pPr>
            <w:r>
              <w:t>BD/CCE limit for multi-cell operation is defined within a slot group of X slots across all the CCs</w:t>
            </w:r>
            <w:bookmarkEnd w:id="96"/>
          </w:p>
          <w:bookmarkEnd w:id="97"/>
          <w:p w14:paraId="36C8F9E5" w14:textId="77777777" w:rsidR="001303AB" w:rsidRDefault="001303AB">
            <w:pPr>
              <w:pStyle w:val="a7"/>
            </w:pPr>
          </w:p>
          <w:p w14:paraId="57279FCE" w14:textId="77777777" w:rsidR="001303AB" w:rsidRDefault="00D95AC5">
            <w:pPr>
              <w:keepNext/>
            </w:pPr>
            <w:r>
              <w:rPr>
                <w:noProof/>
                <w:lang w:eastAsia="zh-CN"/>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a7"/>
            </w:pPr>
            <w:bookmarkStart w:id="98" w:name="_Ref68527611"/>
            <w:r>
              <w:t xml:space="preserve">Figure </w:t>
            </w:r>
            <w:fldSimple w:instr=" SEQ Figure \* ARABIC ">
              <w:r>
                <w:t>1</w:t>
              </w:r>
            </w:fldSimple>
            <w:bookmarkEnd w:id="98"/>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a7"/>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73A1E890" w14:textId="77777777" w:rsidR="001303AB" w:rsidRDefault="001303AB">
            <w:pPr>
              <w:pStyle w:val="afc"/>
              <w:numPr>
                <w:ilvl w:val="0"/>
                <w:numId w:val="104"/>
              </w:numPr>
              <w:snapToGrid/>
              <w:spacing w:line="240" w:lineRule="auto"/>
              <w:rPr>
                <w:lang w:val="en-GB"/>
              </w:rPr>
            </w:pPr>
            <w:bookmarkStart w:id="100" w:name="P_9"/>
          </w:p>
          <w:bookmarkEnd w:id="100"/>
          <w:p w14:paraId="2563BF4B" w14:textId="77777777" w:rsidR="001303AB" w:rsidRDefault="001303AB">
            <w:pPr>
              <w:pStyle w:val="a7"/>
              <w:rPr>
                <w:lang w:val="en-GB"/>
              </w:rPr>
            </w:pPr>
          </w:p>
        </w:tc>
      </w:tr>
    </w:tbl>
    <w:p w14:paraId="0643B308" w14:textId="77777777" w:rsidR="001303AB" w:rsidRDefault="001303AB">
      <w:pPr>
        <w:rPr>
          <w:lang w:eastAsia="zh-CN"/>
        </w:rPr>
      </w:pPr>
    </w:p>
    <w:p w14:paraId="6E37E4FD" w14:textId="77777777" w:rsidR="001303AB" w:rsidRDefault="00D95AC5">
      <w:pPr>
        <w:pStyle w:val="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80F395" w14:textId="77777777" w:rsidR="008D31A0" w:rsidRDefault="008D31A0" w:rsidP="00E21B0C">
      <w:pPr>
        <w:spacing w:after="0" w:line="240" w:lineRule="auto"/>
      </w:pPr>
      <w:r>
        <w:separator/>
      </w:r>
    </w:p>
  </w:endnote>
  <w:endnote w:type="continuationSeparator" w:id="0">
    <w:p w14:paraId="7B2201B4" w14:textId="77777777" w:rsidR="008D31A0" w:rsidRDefault="008D31A0"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微软雅黑">
    <w:altName w:val="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panose1 w:val="02010609060101010101"/>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5F4958" w14:textId="77777777" w:rsidR="008D31A0" w:rsidRDefault="008D31A0" w:rsidP="00E21B0C">
      <w:pPr>
        <w:spacing w:after="0" w:line="240" w:lineRule="auto"/>
      </w:pPr>
      <w:r>
        <w:separator/>
      </w:r>
    </w:p>
  </w:footnote>
  <w:footnote w:type="continuationSeparator" w:id="0">
    <w:p w14:paraId="17FEC437" w14:textId="77777777" w:rsidR="008D31A0" w:rsidRDefault="008D31A0" w:rsidP="00E21B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2"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8"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4"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6"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0"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3"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5"/>
  </w:num>
  <w:num w:numId="3">
    <w:abstractNumId w:val="97"/>
  </w:num>
  <w:num w:numId="4">
    <w:abstractNumId w:val="90"/>
  </w:num>
  <w:num w:numId="5">
    <w:abstractNumId w:val="71"/>
  </w:num>
  <w:num w:numId="6">
    <w:abstractNumId w:val="55"/>
  </w:num>
  <w:num w:numId="7">
    <w:abstractNumId w:val="57"/>
  </w:num>
  <w:num w:numId="8">
    <w:abstractNumId w:val="105"/>
  </w:num>
  <w:num w:numId="9">
    <w:abstractNumId w:val="58"/>
  </w:num>
  <w:num w:numId="10">
    <w:abstractNumId w:val="93"/>
  </w:num>
  <w:num w:numId="11">
    <w:abstractNumId w:val="49"/>
  </w:num>
  <w:num w:numId="12">
    <w:abstractNumId w:val="34"/>
  </w:num>
  <w:num w:numId="13">
    <w:abstractNumId w:val="47"/>
  </w:num>
  <w:num w:numId="14">
    <w:abstractNumId w:val="69"/>
  </w:num>
  <w:num w:numId="15">
    <w:abstractNumId w:val="41"/>
  </w:num>
  <w:num w:numId="16">
    <w:abstractNumId w:val="98"/>
  </w:num>
  <w:num w:numId="17">
    <w:abstractNumId w:val="13"/>
  </w:num>
  <w:num w:numId="18">
    <w:abstractNumId w:val="101"/>
  </w:num>
  <w:num w:numId="19">
    <w:abstractNumId w:val="86"/>
  </w:num>
  <w:num w:numId="20">
    <w:abstractNumId w:val="17"/>
  </w:num>
  <w:num w:numId="21">
    <w:abstractNumId w:val="89"/>
  </w:num>
  <w:num w:numId="22">
    <w:abstractNumId w:val="10"/>
  </w:num>
  <w:num w:numId="23">
    <w:abstractNumId w:val="99"/>
  </w:num>
  <w:num w:numId="24">
    <w:abstractNumId w:val="37"/>
  </w:num>
  <w:num w:numId="25">
    <w:abstractNumId w:val="54"/>
  </w:num>
  <w:num w:numId="26">
    <w:abstractNumId w:val="18"/>
  </w:num>
  <w:num w:numId="27">
    <w:abstractNumId w:val="62"/>
  </w:num>
  <w:num w:numId="28">
    <w:abstractNumId w:val="94"/>
  </w:num>
  <w:num w:numId="29">
    <w:abstractNumId w:val="25"/>
  </w:num>
  <w:num w:numId="30">
    <w:abstractNumId w:val="30"/>
  </w:num>
  <w:num w:numId="31">
    <w:abstractNumId w:val="83"/>
  </w:num>
  <w:num w:numId="32">
    <w:abstractNumId w:val="73"/>
  </w:num>
  <w:num w:numId="33">
    <w:abstractNumId w:val="50"/>
  </w:num>
  <w:num w:numId="34">
    <w:abstractNumId w:val="75"/>
  </w:num>
  <w:num w:numId="35">
    <w:abstractNumId w:val="88"/>
  </w:num>
  <w:num w:numId="36">
    <w:abstractNumId w:val="84"/>
  </w:num>
  <w:num w:numId="37">
    <w:abstractNumId w:val="104"/>
  </w:num>
  <w:num w:numId="38">
    <w:abstractNumId w:val="26"/>
  </w:num>
  <w:num w:numId="39">
    <w:abstractNumId w:val="1"/>
  </w:num>
  <w:num w:numId="40">
    <w:abstractNumId w:val="65"/>
  </w:num>
  <w:num w:numId="41">
    <w:abstractNumId w:val="56"/>
  </w:num>
  <w:num w:numId="42">
    <w:abstractNumId w:val="81"/>
  </w:num>
  <w:num w:numId="43">
    <w:abstractNumId w:val="67"/>
  </w:num>
  <w:num w:numId="44">
    <w:abstractNumId w:val="5"/>
  </w:num>
  <w:num w:numId="45">
    <w:abstractNumId w:val="27"/>
  </w:num>
  <w:num w:numId="46">
    <w:abstractNumId w:val="66"/>
  </w:num>
  <w:num w:numId="47">
    <w:abstractNumId w:val="85"/>
  </w:num>
  <w:num w:numId="48">
    <w:abstractNumId w:val="80"/>
  </w:num>
  <w:num w:numId="49">
    <w:abstractNumId w:val="95"/>
  </w:num>
  <w:num w:numId="50">
    <w:abstractNumId w:val="31"/>
  </w:num>
  <w:num w:numId="51">
    <w:abstractNumId w:val="68"/>
  </w:num>
  <w:num w:numId="52">
    <w:abstractNumId w:val="15"/>
  </w:num>
  <w:num w:numId="53">
    <w:abstractNumId w:val="11"/>
  </w:num>
  <w:num w:numId="54">
    <w:abstractNumId w:val="70"/>
  </w:num>
  <w:num w:numId="55">
    <w:abstractNumId w:val="22"/>
  </w:num>
  <w:num w:numId="56">
    <w:abstractNumId w:val="53"/>
  </w:num>
  <w:num w:numId="57">
    <w:abstractNumId w:val="77"/>
  </w:num>
  <w:num w:numId="58">
    <w:abstractNumId w:val="9"/>
  </w:num>
  <w:num w:numId="59">
    <w:abstractNumId w:val="29"/>
  </w:num>
  <w:num w:numId="60">
    <w:abstractNumId w:val="7"/>
  </w:num>
  <w:num w:numId="61">
    <w:abstractNumId w:val="51"/>
  </w:num>
  <w:num w:numId="62">
    <w:abstractNumId w:val="87"/>
  </w:num>
  <w:num w:numId="63">
    <w:abstractNumId w:val="38"/>
  </w:num>
  <w:num w:numId="64">
    <w:abstractNumId w:val="64"/>
  </w:num>
  <w:num w:numId="65">
    <w:abstractNumId w:val="32"/>
  </w:num>
  <w:num w:numId="66">
    <w:abstractNumId w:val="2"/>
  </w:num>
  <w:num w:numId="67">
    <w:abstractNumId w:val="20"/>
  </w:num>
  <w:num w:numId="68">
    <w:abstractNumId w:val="44"/>
  </w:num>
  <w:num w:numId="69">
    <w:abstractNumId w:val="35"/>
  </w:num>
  <w:num w:numId="70">
    <w:abstractNumId w:val="24"/>
  </w:num>
  <w:num w:numId="71">
    <w:abstractNumId w:val="46"/>
  </w:num>
  <w:num w:numId="72">
    <w:abstractNumId w:val="40"/>
  </w:num>
  <w:num w:numId="73">
    <w:abstractNumId w:val="82"/>
  </w:num>
  <w:num w:numId="74">
    <w:abstractNumId w:val="12"/>
  </w:num>
  <w:num w:numId="75">
    <w:abstractNumId w:val="14"/>
  </w:num>
  <w:num w:numId="76">
    <w:abstractNumId w:val="8"/>
  </w:num>
  <w:num w:numId="77">
    <w:abstractNumId w:val="102"/>
  </w:num>
  <w:num w:numId="78">
    <w:abstractNumId w:val="0"/>
  </w:num>
  <w:num w:numId="79">
    <w:abstractNumId w:val="61"/>
  </w:num>
  <w:num w:numId="80">
    <w:abstractNumId w:val="28"/>
  </w:num>
  <w:num w:numId="81">
    <w:abstractNumId w:val="59"/>
  </w:num>
  <w:num w:numId="82">
    <w:abstractNumId w:val="6"/>
  </w:num>
  <w:num w:numId="83">
    <w:abstractNumId w:val="100"/>
  </w:num>
  <w:num w:numId="84">
    <w:abstractNumId w:val="103"/>
  </w:num>
  <w:num w:numId="85">
    <w:abstractNumId w:val="39"/>
  </w:num>
  <w:num w:numId="86">
    <w:abstractNumId w:val="63"/>
  </w:num>
  <w:num w:numId="87">
    <w:abstractNumId w:val="96"/>
  </w:num>
  <w:num w:numId="88">
    <w:abstractNumId w:val="19"/>
  </w:num>
  <w:num w:numId="89">
    <w:abstractNumId w:val="76"/>
  </w:num>
  <w:num w:numId="90">
    <w:abstractNumId w:val="23"/>
  </w:num>
  <w:num w:numId="91">
    <w:abstractNumId w:val="52"/>
  </w:num>
  <w:num w:numId="92">
    <w:abstractNumId w:val="74"/>
  </w:num>
  <w:num w:numId="93">
    <w:abstractNumId w:val="79"/>
  </w:num>
  <w:num w:numId="94">
    <w:abstractNumId w:val="48"/>
  </w:num>
  <w:num w:numId="95">
    <w:abstractNumId w:val="33"/>
  </w:num>
  <w:num w:numId="96">
    <w:abstractNumId w:val="43"/>
  </w:num>
  <w:num w:numId="97">
    <w:abstractNumId w:val="92"/>
  </w:num>
  <w:num w:numId="98">
    <w:abstractNumId w:val="36"/>
  </w:num>
  <w:num w:numId="99">
    <w:abstractNumId w:val="72"/>
  </w:num>
  <w:num w:numId="100">
    <w:abstractNumId w:val="91"/>
  </w:num>
  <w:num w:numId="101">
    <w:abstractNumId w:val="42"/>
  </w:num>
  <w:num w:numId="102">
    <w:abstractNumId w:val="4"/>
  </w:num>
  <w:num w:numId="103">
    <w:abstractNumId w:val="21"/>
  </w:num>
  <w:num w:numId="104">
    <w:abstractNumId w:val="60"/>
  </w:num>
  <w:num w:numId="105">
    <w:abstractNumId w:val="3"/>
  </w:num>
  <w:num w:numId="106">
    <w:abstractNumId w:val="78"/>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批注框文本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har1">
    <w:name w:val="题注 Char"/>
    <w:link w:val="a7"/>
    <w:uiPriority w:val="35"/>
    <w:qFormat/>
    <w:rPr>
      <w:b/>
      <w:bCs/>
      <w:lang w:val="en-US" w:eastAsia="en-US"/>
    </w:rPr>
  </w:style>
  <w:style w:type="character" w:customStyle="1" w:styleId="Char9">
    <w:name w:val="页眉 Char"/>
    <w:link w:val="af"/>
    <w:qFormat/>
    <w:rPr>
      <w:sz w:val="22"/>
      <w:szCs w:val="22"/>
    </w:rPr>
  </w:style>
  <w:style w:type="character" w:customStyle="1" w:styleId="Char8">
    <w:name w:val="页脚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リスト段落"/>
    <w:basedOn w:val="a0"/>
    <w:link w:val="Chard"/>
    <w:uiPriority w:val="34"/>
    <w:qFormat/>
    <w:pPr>
      <w:autoSpaceDE/>
      <w:autoSpaceDN/>
      <w:adjustRightInd/>
      <w:spacing w:after="0"/>
      <w:ind w:left="720"/>
    </w:pPr>
    <w:rPr>
      <w:rFonts w:ascii="Calibri" w:hAnsi="Calibri"/>
    </w:rPr>
  </w:style>
  <w:style w:type="character" w:customStyle="1" w:styleId="Char2">
    <w:name w:val="文档结构图 Char"/>
    <w:link w:val="a8"/>
    <w:uiPriority w:val="99"/>
    <w:qFormat/>
    <w:rPr>
      <w:rFonts w:ascii="Tahoma" w:hAnsi="Tahoma" w:cs="Tahoma"/>
      <w:sz w:val="16"/>
      <w:szCs w:val="16"/>
    </w:rPr>
  </w:style>
  <w:style w:type="character" w:customStyle="1" w:styleId="Char3">
    <w:name w:val="批注文字 Char"/>
    <w:basedOn w:val="a1"/>
    <w:link w:val="a9"/>
    <w:uiPriority w:val="99"/>
    <w:qFormat/>
  </w:style>
  <w:style w:type="character" w:customStyle="1" w:styleId="Charc">
    <w:name w:val="批注主题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标题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纯文本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标题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正文文本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正文文本缩进 2 Char"/>
    <w:basedOn w:val="a1"/>
    <w:link w:val="24"/>
    <w:qFormat/>
    <w:rPr>
      <w:rFonts w:eastAsia="Times New Roman"/>
      <w:kern w:val="2"/>
      <w:lang w:eastAsia="ja-JP"/>
    </w:rPr>
  </w:style>
  <w:style w:type="character" w:customStyle="1" w:styleId="3Char1">
    <w:name w:val="正文文本缩进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日期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标题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标题 2 Char"/>
    <w:link w:val="2"/>
    <w:qFormat/>
    <w:rPr>
      <w:rFonts w:ascii="Arial" w:hAnsi="Arial"/>
      <w:b/>
      <w:bCs/>
      <w:sz w:val="24"/>
      <w:szCs w:val="22"/>
      <w:lang w:val="en-GB" w:eastAsia="zh-CN"/>
    </w:rPr>
  </w:style>
  <w:style w:type="character" w:customStyle="1" w:styleId="4Char">
    <w:name w:val="标题 4 Char"/>
    <w:link w:val="4"/>
    <w:qFormat/>
    <w:rPr>
      <w:b/>
      <w:bCs/>
      <w:sz w:val="28"/>
      <w:szCs w:val="28"/>
      <w:lang w:eastAsia="en-US"/>
    </w:rPr>
  </w:style>
  <w:style w:type="character" w:customStyle="1" w:styleId="5Char">
    <w:name w:val="标题 5 Char"/>
    <w:link w:val="5"/>
    <w:qFormat/>
    <w:rPr>
      <w:b/>
      <w:bCs/>
      <w:i/>
      <w:iCs/>
      <w:sz w:val="26"/>
      <w:szCs w:val="26"/>
      <w:lang w:eastAsia="en-US"/>
    </w:rPr>
  </w:style>
  <w:style w:type="character" w:customStyle="1" w:styleId="6Char">
    <w:name w:val="标题 6 Char"/>
    <w:link w:val="6"/>
    <w:qFormat/>
    <w:rPr>
      <w:b/>
      <w:bCs/>
      <w:sz w:val="22"/>
      <w:szCs w:val="22"/>
      <w:lang w:eastAsia="en-US"/>
    </w:rPr>
  </w:style>
  <w:style w:type="character" w:customStyle="1" w:styleId="7Char">
    <w:name w:val="标题 7 Char"/>
    <w:link w:val="7"/>
    <w:qFormat/>
    <w:rPr>
      <w:sz w:val="24"/>
      <w:szCs w:val="24"/>
      <w:lang w:eastAsia="en-US"/>
    </w:rPr>
  </w:style>
  <w:style w:type="character" w:customStyle="1" w:styleId="8Char">
    <w:name w:val="标题 8 Char"/>
    <w:link w:val="8"/>
    <w:qFormat/>
    <w:rPr>
      <w:i/>
      <w:iCs/>
      <w:sz w:val="24"/>
      <w:szCs w:val="24"/>
      <w:lang w:eastAsia="en-US"/>
    </w:rPr>
  </w:style>
  <w:style w:type="character" w:customStyle="1" w:styleId="9Char">
    <w:name w:val="标题 9 Char"/>
    <w:link w:val="9"/>
    <w:qFormat/>
    <w:rPr>
      <w:rFonts w:ascii="Arial" w:hAnsi="Arial"/>
      <w:sz w:val="22"/>
      <w:szCs w:val="22"/>
      <w:lang w:eastAsia="en-US"/>
    </w:rPr>
  </w:style>
  <w:style w:type="character" w:customStyle="1" w:styleId="Char0">
    <w:name w:val="列表 Char"/>
    <w:link w:val="a5"/>
    <w:qFormat/>
    <w:rPr>
      <w:sz w:val="22"/>
      <w:szCs w:val="22"/>
      <w:lang w:eastAsia="en-US"/>
    </w:rPr>
  </w:style>
  <w:style w:type="character" w:customStyle="1" w:styleId="Chara">
    <w:name w:val="脚注文本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列表 2 Char"/>
    <w:link w:val="20"/>
    <w:qFormat/>
    <w:rPr>
      <w:sz w:val="22"/>
      <w:szCs w:val="22"/>
      <w:lang w:eastAsia="en-US"/>
    </w:rPr>
  </w:style>
  <w:style w:type="character" w:customStyle="1" w:styleId="3Char0">
    <w:name w:val="列表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正文文本 2 Char"/>
    <w:link w:val="25"/>
    <w:qFormat/>
    <w:rPr>
      <w:sz w:val="22"/>
      <w:lang w:eastAsia="en-US"/>
    </w:rPr>
  </w:style>
  <w:style w:type="character" w:customStyle="1" w:styleId="Chard">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
    <w:name w:val="Mention"/>
    <w:basedOn w:val="a1"/>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7.vsdx"/><Relationship Id="rId47" Type="http://schemas.openxmlformats.org/officeDocument/2006/relationships/package" Target="embeddings/Microsoft_Visio_Drawing78.vsdx"/><Relationship Id="rId63" Type="http://schemas.openxmlformats.org/officeDocument/2006/relationships/package" Target="embeddings/Microsoft_Visio_Drawing1112.vsdx"/><Relationship Id="rId68" Type="http://schemas.openxmlformats.org/officeDocument/2006/relationships/oleObject" Target="embeddings/oleObject4.bin"/><Relationship Id="rId7" Type="http://schemas.openxmlformats.org/officeDocument/2006/relationships/customXml" Target="../customXml/item7.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4.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5.vsdx"/><Relationship Id="rId37" Type="http://schemas.openxmlformats.org/officeDocument/2006/relationships/image" Target="media/image17.emf"/><Relationship Id="rId40" Type="http://schemas.openxmlformats.org/officeDocument/2006/relationships/package" Target="embeddings/Microsoft_Visio_Drawing56.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11.vsdx"/><Relationship Id="rId66" Type="http://schemas.openxmlformats.org/officeDocument/2006/relationships/package" Target="embeddings/Microsoft_Visio_Drawing1415.vsdx"/><Relationship Id="rId5" Type="http://schemas.openxmlformats.org/officeDocument/2006/relationships/customXml" Target="../customXml/item5.xml"/><Relationship Id="rId61" Type="http://schemas.openxmlformats.org/officeDocument/2006/relationships/oleObject" Target="embeddings/oleObject3.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3.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13.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10.vsdx"/><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package" Target="embeddings/Microsoft_Visio_Drawing12.vsdx"/><Relationship Id="rId33" Type="http://schemas.openxmlformats.org/officeDocument/2006/relationships/image" Target="media/image14.png"/><Relationship Id="rId38" Type="http://schemas.openxmlformats.org/officeDocument/2006/relationships/oleObject" Target="embeddings/Microsoft_Visio_2003-2010_Drawing23.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1.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2.vsd"/><Relationship Id="rId49" Type="http://schemas.openxmlformats.org/officeDocument/2006/relationships/package" Target="embeddings/Microsoft_Visio_Drawing89.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14.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C524094-A60A-4C4E-9748-58DF51BBE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175</Pages>
  <Words>58881</Words>
  <Characters>335623</Characters>
  <Application>Microsoft Office Word</Application>
  <DocSecurity>0</DocSecurity>
  <Lines>2796</Lines>
  <Paragraphs>787</Paragraphs>
  <ScaleCrop>false</ScaleCrop>
  <HeadingPairs>
    <vt:vector size="2" baseType="variant">
      <vt:variant>
        <vt:lpstr>タイトル</vt:lpstr>
      </vt:variant>
      <vt:variant>
        <vt:i4>1</vt:i4>
      </vt:variant>
    </vt:vector>
  </HeadingPairs>
  <TitlesOfParts>
    <vt:vector size="1" baseType="lpstr">
      <vt:lpstr/>
    </vt:vector>
  </TitlesOfParts>
  <Company>Lenovo.com</Company>
  <LinksUpToDate>false</LinksUpToDate>
  <CharactersWithSpaces>393717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Huawei</cp:lastModifiedBy>
  <cp:revision>6</cp:revision>
  <cp:lastPrinted>2016-08-13T07:06:00Z</cp:lastPrinted>
  <dcterms:created xsi:type="dcterms:W3CDTF">2021-11-18T10:27:00Z</dcterms:created>
  <dcterms:modified xsi:type="dcterms:W3CDTF">2021-11-18T10:49:00Z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